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06993">
      <w:pPr>
        <w:pStyle w:val="3"/>
        <w:bidi w:val="0"/>
        <w:rPr>
          <w:rFonts w:hint="default"/>
          <w:color w:val="auto"/>
          <w:highlight w:val="none"/>
          <w:u w:val="none"/>
          <w:lang w:val="en-US" w:eastAsia="zh-CN"/>
        </w:rPr>
      </w:pPr>
      <w:r>
        <w:rPr>
          <w:rFonts w:hint="eastAsia"/>
          <w:color w:val="auto"/>
          <w:highlight w:val="none"/>
          <w:u w:val="none"/>
          <w:lang w:val="en-US" w:eastAsia="zh-CN"/>
        </w:rPr>
        <w:t>附录一：回归结果</w:t>
      </w:r>
    </w:p>
    <w:p w14:paraId="24B99F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正文表2与表6完整回归结果（显示各项控制变量）如下：</w:t>
      </w:r>
    </w:p>
    <w:p w14:paraId="25C3BAA3">
      <w:pPr>
        <w:widowControl w:val="0"/>
        <w:ind w:firstLine="420" w:firstLineChars="200"/>
        <w:jc w:val="center"/>
        <w:rPr>
          <w:rFonts w:hint="eastAsia" w:ascii="Times New Roman" w:hAnsi="Times New Roman" w:eastAsia="黑体" w:cs="Times New Roman"/>
          <w:b w:val="0"/>
          <w:bCs w:val="0"/>
          <w:color w:val="auto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Cs w:val="24"/>
          <w:highlight w:val="none"/>
          <w:lang w:val="en-US" w:eastAsia="zh-CN" w:bidi="ar-SA"/>
        </w:rPr>
        <w:t>表2 基准回归结果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6"/>
        <w:gridCol w:w="1390"/>
        <w:gridCol w:w="1391"/>
        <w:gridCol w:w="1391"/>
        <w:gridCol w:w="1401"/>
      </w:tblGrid>
      <w:tr w14:paraId="1A4D50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l2br w:val="nil"/>
              <w:tr2bl w:val="nil"/>
            </w:tcBorders>
            <w:noWrap w:val="0"/>
            <w:vAlign w:val="center"/>
          </w:tcPr>
          <w:p w14:paraId="556BDE87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l2br w:val="nil"/>
              <w:tr2bl w:val="nil"/>
            </w:tcBorders>
            <w:noWrap w:val="0"/>
            <w:vAlign w:val="center"/>
          </w:tcPr>
          <w:p w14:paraId="6EB870A1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(1)</w:t>
            </w:r>
          </w:p>
        </w:tc>
        <w:tc>
          <w:tcPr>
            <w:tcW w:w="816" w:type="pct"/>
            <w:tcBorders>
              <w:tl2br w:val="nil"/>
              <w:tr2bl w:val="nil"/>
            </w:tcBorders>
            <w:noWrap w:val="0"/>
            <w:vAlign w:val="center"/>
          </w:tcPr>
          <w:p w14:paraId="355CCBCB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(2)</w:t>
            </w:r>
          </w:p>
        </w:tc>
        <w:tc>
          <w:tcPr>
            <w:tcW w:w="816" w:type="pct"/>
            <w:tcBorders>
              <w:tl2br w:val="nil"/>
              <w:tr2bl w:val="nil"/>
            </w:tcBorders>
            <w:noWrap w:val="0"/>
            <w:vAlign w:val="center"/>
          </w:tcPr>
          <w:p w14:paraId="21A94619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(3)</w:t>
            </w:r>
          </w:p>
        </w:tc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04355935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(4)</w:t>
            </w:r>
          </w:p>
        </w:tc>
      </w:tr>
      <w:tr w14:paraId="179554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l2br w:val="nil"/>
              <w:tr2bl w:val="nil"/>
            </w:tcBorders>
            <w:noWrap w:val="0"/>
            <w:vAlign w:val="center"/>
          </w:tcPr>
          <w:p w14:paraId="6A15C204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变量</w:t>
            </w:r>
          </w:p>
        </w:tc>
        <w:tc>
          <w:tcPr>
            <w:tcW w:w="327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F2B31AE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CO2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</w:tr>
      <w:tr w14:paraId="2C9BDF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bottom w:val="nil"/>
            </w:tcBorders>
            <w:shd w:val="clear" w:color="auto" w:fill="auto"/>
            <w:noWrap w:val="0"/>
            <w:vAlign w:val="center"/>
          </w:tcPr>
          <w:p w14:paraId="46DD882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ubway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816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5CE1242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-1.521***</w:t>
            </w:r>
          </w:p>
        </w:tc>
        <w:tc>
          <w:tcPr>
            <w:tcW w:w="816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32FD3C4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-1.162***</w:t>
            </w:r>
          </w:p>
        </w:tc>
        <w:tc>
          <w:tcPr>
            <w:tcW w:w="816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0CA8AA0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-1.221***</w:t>
            </w:r>
          </w:p>
        </w:tc>
        <w:tc>
          <w:tcPr>
            <w:tcW w:w="821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3D26D60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-0.908***</w:t>
            </w:r>
          </w:p>
        </w:tc>
      </w:tr>
      <w:tr w14:paraId="4228B8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7DB2BAB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0B24F4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(0.249)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2BECC8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(0.254)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D4B297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(0.267)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958744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(0.285)</w:t>
            </w:r>
          </w:p>
        </w:tc>
      </w:tr>
      <w:tr w14:paraId="5E69B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353CF3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Lnpergdp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578729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B17BB5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AC421C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0.037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008349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0.830</w:t>
            </w:r>
          </w:p>
        </w:tc>
      </w:tr>
      <w:tr w14:paraId="3AB662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37C7D9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ABCEB8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526D94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AA4D3F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(0.921)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10AAC7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(1.104)</w:t>
            </w:r>
          </w:p>
        </w:tc>
      </w:tr>
      <w:tr w14:paraId="08D044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4B4E9F5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Industrial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C68A60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A586CE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7BAD9A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10.757**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615F13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10.768**</w:t>
            </w:r>
          </w:p>
        </w:tc>
      </w:tr>
      <w:tr w14:paraId="0F9B02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E88F3C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D17614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F1C674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469AE8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(4.957)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525678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(5.074)</w:t>
            </w:r>
          </w:p>
        </w:tc>
      </w:tr>
      <w:tr w14:paraId="757028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7107E9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Lnn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umber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270BC1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BD949B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F3D5D5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-0.565**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310E89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-0.420</w:t>
            </w:r>
          </w:p>
        </w:tc>
      </w:tr>
      <w:tr w14:paraId="4AFDAC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2B15041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E81FD9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99019D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4F60FD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(0.259)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6CF00A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(0.345)</w:t>
            </w:r>
          </w:p>
        </w:tc>
      </w:tr>
      <w:tr w14:paraId="373C00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2EA9670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Lnexport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BBE2C1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8DC2D7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9F06BE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-0.101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4929D7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-0.074</w:t>
            </w:r>
          </w:p>
        </w:tc>
      </w:tr>
      <w:tr w14:paraId="6FE799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635CCAF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C1541F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861E9E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2E8980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(0.106)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FD7ADD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(0.089)</w:t>
            </w:r>
          </w:p>
        </w:tc>
      </w:tr>
      <w:tr w14:paraId="07A32F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29455AF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Density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6A0EBD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2D8F57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F3EF69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-0.025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560097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-0.024*</w:t>
            </w:r>
          </w:p>
        </w:tc>
      </w:tr>
      <w:tr w14:paraId="776AF0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noWrap w:val="0"/>
            <w:vAlign w:val="center"/>
          </w:tcPr>
          <w:p w14:paraId="7CD06AE9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CEA798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D587AB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4E5D9B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(0.016)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8303BF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(0.014)</w:t>
            </w:r>
          </w:p>
        </w:tc>
      </w:tr>
      <w:tr w14:paraId="1D5F2E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6BBED29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Road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06EF6D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E4FACD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84F07F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-0.240***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1D392D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-0.117**</w:t>
            </w:r>
          </w:p>
        </w:tc>
      </w:tr>
      <w:tr w14:paraId="065EF7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74DDD52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2C34E6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D2A581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4737A9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(0.090)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4D2146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(0.053)</w:t>
            </w:r>
          </w:p>
        </w:tc>
      </w:tr>
      <w:tr w14:paraId="1FAB71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noWrap w:val="0"/>
            <w:vAlign w:val="center"/>
          </w:tcPr>
          <w:p w14:paraId="7C99F828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区县固定效应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65BE15AC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48E8ADD5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6EB49D39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 w:val="0"/>
            <w:vAlign w:val="center"/>
          </w:tcPr>
          <w:p w14:paraId="28A3BAC3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485D73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noWrap w:val="0"/>
            <w:vAlign w:val="center"/>
          </w:tcPr>
          <w:p w14:paraId="7A7A9C7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年份固定效应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3465248C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1F81BA07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16265D09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 w:val="0"/>
            <w:vAlign w:val="center"/>
          </w:tcPr>
          <w:p w14:paraId="38EAB775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0DB99A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noWrap w:val="0"/>
            <w:vAlign w:val="center"/>
          </w:tcPr>
          <w:p w14:paraId="74F6194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省份年份固定效应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1002793B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否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2FF23A82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 w:val="0"/>
            <w:vAlign w:val="center"/>
          </w:tcPr>
          <w:p w14:paraId="3FABE576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否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 w:val="0"/>
            <w:vAlign w:val="center"/>
          </w:tcPr>
          <w:p w14:paraId="39262E8D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45ACBB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  <w:bottom w:val="nil"/>
            </w:tcBorders>
            <w:noWrap w:val="0"/>
            <w:vAlign w:val="center"/>
          </w:tcPr>
          <w:p w14:paraId="5ABC5A43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样本量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7F8A16A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34793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B11E945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34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93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0A45C05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34793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793F8AA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34793</w:t>
            </w:r>
          </w:p>
        </w:tc>
      </w:tr>
      <w:tr w14:paraId="1F2CE9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29" w:type="pct"/>
            <w:tcBorders>
              <w:top w:val="nil"/>
            </w:tcBorders>
            <w:noWrap w:val="0"/>
            <w:vAlign w:val="center"/>
          </w:tcPr>
          <w:p w14:paraId="5883DA0B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816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33D1E4E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0.893</w:t>
            </w:r>
          </w:p>
        </w:tc>
        <w:tc>
          <w:tcPr>
            <w:tcW w:w="816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6FF9F8B4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0.899</w:t>
            </w:r>
          </w:p>
        </w:tc>
        <w:tc>
          <w:tcPr>
            <w:tcW w:w="816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24B94B46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0.894</w:t>
            </w:r>
          </w:p>
        </w:tc>
        <w:tc>
          <w:tcPr>
            <w:tcW w:w="821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2E85B62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0.900</w:t>
            </w:r>
          </w:p>
        </w:tc>
      </w:tr>
    </w:tbl>
    <w:p w14:paraId="22B66D37">
      <w:pPr>
        <w:snapToGrid w:val="0"/>
        <w:ind w:firstLine="301" w:firstLineChars="0"/>
        <w:rPr>
          <w:rFonts w:hint="eastAsia"/>
          <w:color w:val="auto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  <w:u w:val="none"/>
        </w:rPr>
        <w:t>注：</w:t>
      </w:r>
      <w:r>
        <w:rPr>
          <w:rFonts w:hint="eastAsia" w:cs="Times New Roman"/>
          <w:color w:val="auto"/>
          <w:sz w:val="18"/>
          <w:szCs w:val="18"/>
          <w:highlight w:val="none"/>
          <w:u w:val="none"/>
          <w:lang w:val="en-US" w:eastAsia="zh-CN"/>
        </w:rPr>
        <w:t>经</w:t>
      </w:r>
      <w:r>
        <w:rPr>
          <w:rFonts w:hint="default"/>
          <w:color w:val="auto"/>
          <w:sz w:val="18"/>
          <w:szCs w:val="18"/>
          <w:highlight w:val="none"/>
          <w:u w:val="none"/>
        </w:rPr>
        <w:t>检验</w:t>
      </w:r>
      <w:r>
        <w:rPr>
          <w:rFonts w:hint="eastAsia"/>
          <w:color w:val="auto"/>
          <w:sz w:val="18"/>
          <w:szCs w:val="18"/>
          <w:highlight w:val="none"/>
          <w:u w:val="none"/>
          <w:lang w:eastAsia="zh-CN"/>
        </w:rPr>
        <w:t>，</w:t>
      </w:r>
      <w:r>
        <w:rPr>
          <w:rFonts w:hint="eastAsia"/>
          <w:color w:val="auto"/>
          <w:sz w:val="18"/>
          <w:szCs w:val="18"/>
          <w:highlight w:val="none"/>
          <w:u w:val="none"/>
          <w:lang w:val="en-US" w:eastAsia="zh-CN"/>
        </w:rPr>
        <w:t>被解释</w:t>
      </w:r>
      <w:r>
        <w:rPr>
          <w:rFonts w:hint="default"/>
          <w:color w:val="auto"/>
          <w:sz w:val="18"/>
          <w:szCs w:val="18"/>
          <w:highlight w:val="none"/>
          <w:u w:val="none"/>
        </w:rPr>
        <w:t>变量的方差膨胀因子（VIF）均值为1.32，表明多重共线性问题</w:t>
      </w:r>
      <w:r>
        <w:rPr>
          <w:rFonts w:hint="eastAsia"/>
          <w:color w:val="auto"/>
          <w:sz w:val="18"/>
          <w:szCs w:val="18"/>
          <w:highlight w:val="none"/>
          <w:u w:val="none"/>
          <w:lang w:val="en-US" w:eastAsia="zh-CN"/>
        </w:rPr>
        <w:t>不会产生较大干扰</w:t>
      </w:r>
      <w:r>
        <w:rPr>
          <w:rFonts w:hint="default"/>
          <w:color w:val="auto"/>
          <w:sz w:val="18"/>
          <w:szCs w:val="18"/>
          <w:highlight w:val="none"/>
          <w:u w:val="none"/>
        </w:rPr>
        <w:t>。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  <w:u w:val="none"/>
        </w:rPr>
        <w:t>括号</w:t>
      </w:r>
      <w:r>
        <w:rPr>
          <w:rFonts w:hint="eastAsia" w:cs="Times New Roman"/>
          <w:color w:val="auto"/>
          <w:sz w:val="18"/>
          <w:szCs w:val="18"/>
          <w:highlight w:val="none"/>
          <w:u w:val="none"/>
          <w:lang w:val="en-US" w:eastAsia="zh-CN"/>
        </w:rPr>
        <w:t>内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  <w:u w:val="none"/>
        </w:rPr>
        <w:t>为聚类稳健标准误，聚类到城市层面，下同。*代表显著性，其中***、**、*分别表示1%、5%、10%的显著性水平。下同。</w:t>
      </w:r>
    </w:p>
    <w:p w14:paraId="63705CA8">
      <w:pPr>
        <w:jc w:val="center"/>
        <w:rPr>
          <w:rFonts w:hint="eastAsia"/>
          <w:color w:val="auto"/>
          <w:highlight w:val="none"/>
          <w:u w:val="none"/>
          <w:lang w:val="en-US" w:eastAsia="zh-CN"/>
        </w:rPr>
      </w:pPr>
    </w:p>
    <w:p w14:paraId="54D79BE0">
      <w:pPr>
        <w:widowControl w:val="0"/>
        <w:ind w:firstLine="420" w:firstLineChars="200"/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Cs w:val="24"/>
          <w:highlight w:val="none"/>
          <w:lang w:val="en-US" w:eastAsia="zh-CN" w:bidi="ar-SA"/>
        </w:rPr>
        <w:t>表6 机制检验：家庭消费碳排放和交通支出缩减</w:t>
      </w:r>
    </w:p>
    <w:tbl>
      <w:tblPr>
        <w:tblStyle w:val="6"/>
        <w:tblW w:w="4997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28"/>
        <w:gridCol w:w="2128"/>
        <w:gridCol w:w="2133"/>
      </w:tblGrid>
      <w:tr w14:paraId="184883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l2br w:val="nil"/>
              <w:tr2bl w:val="nil"/>
            </w:tcBorders>
            <w:noWrap w:val="0"/>
            <w:vAlign w:val="center"/>
          </w:tcPr>
          <w:p w14:paraId="7450DE80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l2br w:val="nil"/>
              <w:tr2bl w:val="nil"/>
            </w:tcBorders>
            <w:noWrap w:val="0"/>
            <w:vAlign w:val="center"/>
          </w:tcPr>
          <w:p w14:paraId="20886030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noWrap w:val="0"/>
            <w:vAlign w:val="center"/>
          </w:tcPr>
          <w:p w14:paraId="6BBBD815">
            <w:pPr>
              <w:spacing w:beforeLines="0" w:afterLines="0"/>
              <w:jc w:val="center"/>
              <w:rPr>
                <w:rFonts w:hint="default" w:eastAsia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(2)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noWrap w:val="0"/>
            <w:vAlign w:val="center"/>
          </w:tcPr>
          <w:p w14:paraId="46B51C93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)</w:t>
            </w:r>
          </w:p>
        </w:tc>
      </w:tr>
      <w:tr w14:paraId="17C569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l2br w:val="nil"/>
              <w:tr2bl w:val="nil"/>
            </w:tcBorders>
            <w:noWrap w:val="0"/>
            <w:vAlign w:val="center"/>
          </w:tcPr>
          <w:p w14:paraId="2D171C62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变量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noWrap w:val="0"/>
            <w:vAlign w:val="center"/>
          </w:tcPr>
          <w:p w14:paraId="3A97841F">
            <w:pPr>
              <w:spacing w:beforeLines="0" w:afterLines="0"/>
              <w:jc w:val="center"/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</w:t>
            </w:r>
            <w:r>
              <w:rPr>
                <w:rFonts w:hint="default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n</w:t>
            </w: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traffic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t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noWrap w:val="0"/>
            <w:vAlign w:val="center"/>
          </w:tcPr>
          <w:p w14:paraId="3E13472B">
            <w:pPr>
              <w:spacing w:beforeLines="0" w:afterLines="0"/>
              <w:jc w:val="center"/>
              <w:rPr>
                <w:rFonts w:hint="default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Structure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t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noWrap w:val="0"/>
            <w:vAlign w:val="center"/>
          </w:tcPr>
          <w:p w14:paraId="659BEA9C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</w:t>
            </w:r>
            <w:r>
              <w:rPr>
                <w:rFonts w:hint="default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n</w:t>
            </w: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House_CO2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t</w:t>
            </w:r>
          </w:p>
        </w:tc>
      </w:tr>
      <w:tr w14:paraId="7D2852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49" w:type="pct"/>
            <w:tcBorders>
              <w:bottom w:val="nil"/>
            </w:tcBorders>
            <w:shd w:val="clear" w:color="auto" w:fill="auto"/>
            <w:noWrap w:val="0"/>
            <w:vAlign w:val="center"/>
          </w:tcPr>
          <w:p w14:paraId="40EAFD9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ubway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124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719EB29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-0.030*</w:t>
            </w:r>
          </w:p>
        </w:tc>
        <w:tc>
          <w:tcPr>
            <w:tcW w:w="124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672DACC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0.010**</w:t>
            </w:r>
          </w:p>
        </w:tc>
        <w:tc>
          <w:tcPr>
            <w:tcW w:w="1251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61E4BFD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-0.029**</w:t>
            </w:r>
          </w:p>
        </w:tc>
      </w:tr>
      <w:tr w14:paraId="258586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A8ADBE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185707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(0.017)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4058D2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(0.004)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F55956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4)</w:t>
            </w:r>
          </w:p>
        </w:tc>
      </w:tr>
      <w:tr w14:paraId="02264C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1A766ECC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Consumption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E924F3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0.175***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06C6C5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-0.008***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C4BDF9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0.227***</w:t>
            </w:r>
          </w:p>
        </w:tc>
      </w:tr>
      <w:tr w14:paraId="4A6C39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442BD7E5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B339B5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(0.004)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78BB26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(0.001)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E27F9A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(0.005)</w:t>
            </w:r>
          </w:p>
        </w:tc>
      </w:tr>
      <w:tr w14:paraId="1D141A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17C23C76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Income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9E1126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0.006***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02718A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0.000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9B66E3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0.019***</w:t>
            </w:r>
          </w:p>
        </w:tc>
      </w:tr>
      <w:tr w14:paraId="70992C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58F068B0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5560EA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(0.001)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5D2C7B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(0.000)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9C9745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(0.002)</w:t>
            </w:r>
          </w:p>
        </w:tc>
      </w:tr>
      <w:tr w14:paraId="74C2A0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353ADA2B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sz w:val="15"/>
                <w:szCs w:val="15"/>
                <w:highlight w:val="none"/>
                <w:u w:val="none"/>
              </w:rPr>
              <w:t>Scale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BD9C57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0.008***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540424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-0.002**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BA9332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0.054***</w:t>
            </w:r>
          </w:p>
        </w:tc>
      </w:tr>
      <w:tr w14:paraId="626866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14775DC3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52CC83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(0.002)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BD3BDF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(0.001)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2969EA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(0.006)</w:t>
            </w:r>
          </w:p>
        </w:tc>
      </w:tr>
      <w:tr w14:paraId="40F84B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5DB44188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Debt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DF4D70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0.000*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863F4D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0.000***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2975F1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0.001</w:t>
            </w:r>
          </w:p>
        </w:tc>
      </w:tr>
      <w:tr w14:paraId="20AC3C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715AE11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0BDCDA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(0.000)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D694DC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(0.000)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2BD810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(0.001)</w:t>
            </w:r>
          </w:p>
        </w:tc>
      </w:tr>
      <w:tr w14:paraId="1C19AC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6A32702A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sz w:val="15"/>
                <w:szCs w:val="15"/>
                <w:highlight w:val="none"/>
                <w:u w:val="none"/>
              </w:rPr>
              <w:t>Onschool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DFC240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-0.027***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03A634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-0.028***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4135CA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0.057***</w:t>
            </w:r>
          </w:p>
        </w:tc>
      </w:tr>
      <w:tr w14:paraId="674A4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6FEC6A1D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3CFBAD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(0.005)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1DA366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(0.002)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D85422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(0.012)</w:t>
            </w:r>
          </w:p>
        </w:tc>
      </w:tr>
      <w:tr w14:paraId="050F10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78A9B0F3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Disable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95C1F0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-0.089***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3C2647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-0.009***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BE1068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-0.254***</w:t>
            </w:r>
          </w:p>
        </w:tc>
      </w:tr>
      <w:tr w14:paraId="4C517E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41E36120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5BBE8E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(0.008)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E28AA8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(0.003)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FE580F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(0.024)</w:t>
            </w:r>
          </w:p>
        </w:tc>
      </w:tr>
      <w:tr w14:paraId="77EE29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291155DC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Education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E0B658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0.008***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BA37BD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-0.000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69BB0D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0.023***</w:t>
            </w:r>
          </w:p>
        </w:tc>
      </w:tr>
      <w:tr w14:paraId="7E4F51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36BFDE5A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27AC10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(0.001)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1C30B4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(0.000)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94A563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(0.002)</w:t>
            </w:r>
          </w:p>
        </w:tc>
      </w:tr>
      <w:tr w14:paraId="2AACBD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1F6A84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Lnpergdp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645881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0.121***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D9385F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0.021**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9A236A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-0.083</w:t>
            </w:r>
          </w:p>
        </w:tc>
      </w:tr>
      <w:tr w14:paraId="1FF05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8747EC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68E735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(0.027)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65EBDA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(0.010)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AA6BA6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(0.064)</w:t>
            </w:r>
          </w:p>
        </w:tc>
      </w:tr>
      <w:tr w14:paraId="1B2A8A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03AD1C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Industrial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E87B7C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-0.024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7340F1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-0.015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D9639D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0.439***</w:t>
            </w:r>
          </w:p>
        </w:tc>
      </w:tr>
      <w:tr w14:paraId="755CB7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3CB8F9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0C9ACA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(0.060)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72566F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(0.022)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39D76A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(0.151)</w:t>
            </w:r>
          </w:p>
        </w:tc>
      </w:tr>
      <w:tr w14:paraId="505E3C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78C96F9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Lnn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umber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B44C9E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0.013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519F9D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0.006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D3DFA0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-0.092**</w:t>
            </w:r>
          </w:p>
        </w:tc>
      </w:tr>
      <w:tr w14:paraId="22C789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444193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1B38BA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(0.017)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211D77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(0.008)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9B8FC1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(0.043)</w:t>
            </w:r>
          </w:p>
        </w:tc>
      </w:tr>
      <w:tr w14:paraId="074F86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85291B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Lnexport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0C6A5B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0.027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E695B0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0.001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956C0A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0.011</w:t>
            </w:r>
          </w:p>
        </w:tc>
      </w:tr>
      <w:tr w14:paraId="08EE4E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4E224FC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A3EED4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(0.020)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EF18CB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(0.008)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D8485A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(0.033)</w:t>
            </w:r>
          </w:p>
        </w:tc>
      </w:tr>
      <w:tr w14:paraId="4232F7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2165FDB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Density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4C0301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0.000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4DD514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0.000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F51110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0.001</w:t>
            </w:r>
          </w:p>
        </w:tc>
      </w:tr>
      <w:tr w14:paraId="7A4086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4AD109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C8E1AB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(0.001)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3F155C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(0.000)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F46AE6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(0.002)</w:t>
            </w:r>
          </w:p>
        </w:tc>
      </w:tr>
      <w:tr w14:paraId="139CAB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432ECBF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Road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91517A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-0.063***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9D48CF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0.005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5D516C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-0.160***</w:t>
            </w:r>
          </w:p>
        </w:tc>
      </w:tr>
      <w:tr w14:paraId="511359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67D449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1ADBDE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(0.009)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FD1101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(0.004)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E70E61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(0.027)</w:t>
            </w:r>
          </w:p>
        </w:tc>
      </w:tr>
      <w:tr w14:paraId="07B83C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FD5C9A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区县固定效应</w:t>
            </w:r>
          </w:p>
        </w:tc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284E0006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1E2584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22D645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073266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40B7CA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年份固定效应</w:t>
            </w:r>
          </w:p>
        </w:tc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43E764FC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E665DA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CD680F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69D6AB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11B149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省份年份固定效应</w:t>
            </w:r>
          </w:p>
        </w:tc>
        <w:tc>
          <w:tcPr>
            <w:tcW w:w="1249" w:type="pct"/>
            <w:tcBorders>
              <w:top w:val="nil"/>
              <w:bottom w:val="nil"/>
            </w:tcBorders>
            <w:noWrap w:val="0"/>
            <w:vAlign w:val="center"/>
          </w:tcPr>
          <w:p w14:paraId="5DA25C56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664883D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F7AED3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530687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C24E77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样本量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F73DF2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27487</w:t>
            </w:r>
          </w:p>
        </w:tc>
        <w:tc>
          <w:tcPr>
            <w:tcW w:w="124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EC0982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27487</w:t>
            </w:r>
          </w:p>
        </w:tc>
        <w:tc>
          <w:tcPr>
            <w:tcW w:w="1251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71EEBF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27487</w:t>
            </w:r>
          </w:p>
        </w:tc>
      </w:tr>
      <w:tr w14:paraId="5AB65C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tcBorders>
              <w:top w:val="nil"/>
            </w:tcBorders>
            <w:shd w:val="clear" w:color="auto" w:fill="auto"/>
            <w:noWrap w:val="0"/>
            <w:vAlign w:val="center"/>
          </w:tcPr>
          <w:p w14:paraId="1C14000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124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0A4DF79E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0.771</w:t>
            </w:r>
          </w:p>
        </w:tc>
        <w:tc>
          <w:tcPr>
            <w:tcW w:w="124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6F969B38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0.157</w:t>
            </w:r>
          </w:p>
        </w:tc>
        <w:tc>
          <w:tcPr>
            <w:tcW w:w="1251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2C974DAC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0.451</w:t>
            </w:r>
          </w:p>
        </w:tc>
      </w:tr>
    </w:tbl>
    <w:p w14:paraId="42754B91">
      <w:pPr>
        <w:pStyle w:val="3"/>
        <w:bidi w:val="0"/>
        <w:rPr>
          <w:rFonts w:hint="eastAsia"/>
          <w:color w:val="auto"/>
          <w:highlight w:val="none"/>
          <w:u w:val="none"/>
          <w:lang w:val="en-US" w:eastAsia="zh-CN"/>
        </w:rPr>
      </w:pPr>
    </w:p>
    <w:p w14:paraId="57DF1580">
      <w:pPr>
        <w:pStyle w:val="3"/>
        <w:bidi w:val="0"/>
        <w:rPr>
          <w:rFonts w:hint="default"/>
          <w:color w:val="auto"/>
          <w:highlight w:val="none"/>
          <w:u w:val="none"/>
          <w:lang w:val="en-US" w:eastAsia="zh-CN"/>
        </w:rPr>
      </w:pPr>
      <w:r>
        <w:rPr>
          <w:rFonts w:hint="eastAsia"/>
          <w:color w:val="auto"/>
          <w:highlight w:val="none"/>
          <w:u w:val="none"/>
          <w:lang w:val="en-US" w:eastAsia="zh-CN"/>
        </w:rPr>
        <w:t>附录二：家庭层面机制检验主要指标的描述性统计</w:t>
      </w:r>
    </w:p>
    <w:p w14:paraId="6AF09BB6">
      <w:pPr>
        <w:widowControl w:val="0"/>
        <w:ind w:firstLine="420" w:firstLineChars="200"/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Cs w:val="24"/>
          <w:highlight w:val="none"/>
          <w:lang w:val="en-US" w:eastAsia="zh-CN" w:bidi="ar-SA"/>
        </w:rPr>
        <w:t>附表1 家庭层面机制检验回归主要指标的描述性统计</w:t>
      </w:r>
    </w:p>
    <w:tbl>
      <w:tblPr>
        <w:tblStyle w:val="6"/>
        <w:tblW w:w="4997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3553"/>
        <w:gridCol w:w="731"/>
        <w:gridCol w:w="731"/>
        <w:gridCol w:w="731"/>
        <w:gridCol w:w="731"/>
        <w:gridCol w:w="732"/>
      </w:tblGrid>
      <w:tr w14:paraId="483343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l2br w:val="nil"/>
              <w:tr2bl w:val="nil"/>
            </w:tcBorders>
            <w:noWrap w:val="0"/>
            <w:vAlign w:val="center"/>
          </w:tcPr>
          <w:p w14:paraId="730DE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变量</w:t>
            </w:r>
          </w:p>
        </w:tc>
        <w:tc>
          <w:tcPr>
            <w:tcW w:w="2086" w:type="pct"/>
            <w:tcBorders>
              <w:tl2br w:val="nil"/>
              <w:tr2bl w:val="nil"/>
            </w:tcBorders>
            <w:noWrap w:val="0"/>
            <w:vAlign w:val="center"/>
          </w:tcPr>
          <w:p w14:paraId="72D7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  <w:t>说明</w:t>
            </w:r>
          </w:p>
        </w:tc>
        <w:tc>
          <w:tcPr>
            <w:tcW w:w="429" w:type="pct"/>
            <w:tcBorders>
              <w:tl2br w:val="nil"/>
              <w:tr2bl w:val="nil"/>
            </w:tcBorders>
            <w:noWrap w:val="0"/>
            <w:vAlign w:val="center"/>
          </w:tcPr>
          <w:p w14:paraId="2B84A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样本量</w:t>
            </w:r>
          </w:p>
        </w:tc>
        <w:tc>
          <w:tcPr>
            <w:tcW w:w="429" w:type="pct"/>
            <w:tcBorders>
              <w:tl2br w:val="nil"/>
              <w:tr2bl w:val="nil"/>
            </w:tcBorders>
            <w:noWrap w:val="0"/>
            <w:vAlign w:val="center"/>
          </w:tcPr>
          <w:p w14:paraId="3E82F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平均数</w:t>
            </w:r>
          </w:p>
        </w:tc>
        <w:tc>
          <w:tcPr>
            <w:tcW w:w="429" w:type="pct"/>
            <w:tcBorders>
              <w:tl2br w:val="nil"/>
              <w:tr2bl w:val="nil"/>
            </w:tcBorders>
            <w:noWrap w:val="0"/>
            <w:vAlign w:val="center"/>
          </w:tcPr>
          <w:p w14:paraId="28D70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标准差</w:t>
            </w:r>
          </w:p>
        </w:tc>
        <w:tc>
          <w:tcPr>
            <w:tcW w:w="429" w:type="pct"/>
            <w:tcBorders>
              <w:tl2br w:val="nil"/>
              <w:tr2bl w:val="nil"/>
            </w:tcBorders>
            <w:noWrap w:val="0"/>
            <w:vAlign w:val="center"/>
          </w:tcPr>
          <w:p w14:paraId="683A8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最小值</w:t>
            </w:r>
          </w:p>
        </w:tc>
        <w:tc>
          <w:tcPr>
            <w:tcW w:w="429" w:type="pct"/>
            <w:tcBorders>
              <w:tl2br w:val="nil"/>
              <w:tr2bl w:val="nil"/>
            </w:tcBorders>
            <w:noWrap w:val="0"/>
            <w:vAlign w:val="center"/>
          </w:tcPr>
          <w:p w14:paraId="69C9F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最大值</w:t>
            </w:r>
          </w:p>
        </w:tc>
      </w:tr>
      <w:tr w14:paraId="7982F8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4AFE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第一栏：家庭层次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指标</w:t>
            </w:r>
          </w:p>
        </w:tc>
      </w:tr>
      <w:tr w14:paraId="471941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bottom w:val="nil"/>
            </w:tcBorders>
            <w:shd w:val="clear" w:color="auto" w:fill="auto"/>
            <w:noWrap w:val="0"/>
            <w:vAlign w:val="center"/>
          </w:tcPr>
          <w:p w14:paraId="41CFCCB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</w:t>
            </w:r>
            <w:r>
              <w:rPr>
                <w:rFonts w:hint="default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n</w:t>
            </w: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House_CO2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bottom w:val="nil"/>
            </w:tcBorders>
            <w:shd w:val="clear" w:color="auto" w:fill="auto"/>
            <w:noWrap w:val="0"/>
            <w:vAlign w:val="center"/>
          </w:tcPr>
          <w:p w14:paraId="78BA63C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家庭消费碳排放量（千克）的对数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3DF02C0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40E7A2D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6.215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675CF64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0.613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46E7B18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4.133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601265D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8.245</w:t>
            </w:r>
          </w:p>
        </w:tc>
      </w:tr>
      <w:tr w14:paraId="6017CE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6AF9504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</w:t>
            </w:r>
            <w:r>
              <w:rPr>
                <w:rFonts w:hint="default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n</w:t>
            </w: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traffic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12A227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家庭交通通信消费量（元）+1的对数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5A4808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A91352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7.897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A89EE7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1.140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BC5B21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5B1EA65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11.53</w:t>
            </w:r>
          </w:p>
        </w:tc>
      </w:tr>
      <w:tr w14:paraId="023AA3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514D433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Structure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2B37956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家庭消费结构系数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3B06DF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C9B52FB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0.225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174EF12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0.128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C86F77D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0FD53BE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0.921</w:t>
            </w:r>
          </w:p>
        </w:tc>
      </w:tr>
      <w:tr w14:paraId="241E0D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noWrap w:val="0"/>
            <w:vAlign w:val="center"/>
          </w:tcPr>
          <w:p w14:paraId="2BDD307C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Consumption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noWrap w:val="0"/>
            <w:vAlign w:val="center"/>
          </w:tcPr>
          <w:p w14:paraId="223F704E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家庭消费总量（</w:t>
            </w: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元）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2AF7F3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B3A256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4.400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7F8FE0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2.653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758C8B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0.920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5D8C7F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14.34</w:t>
            </w:r>
          </w:p>
        </w:tc>
      </w:tr>
      <w:tr w14:paraId="23E8CC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noWrap w:val="0"/>
            <w:vAlign w:val="center"/>
          </w:tcPr>
          <w:p w14:paraId="0EE4A6C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Income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noWrap w:val="0"/>
            <w:vAlign w:val="center"/>
          </w:tcPr>
          <w:p w14:paraId="4E2BC95F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家庭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收入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总量（</w:t>
            </w: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元）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E85571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A60ACA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6.418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7796A0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4.639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359F3C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0.858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FEC90F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24.20</w:t>
            </w:r>
          </w:p>
        </w:tc>
      </w:tr>
      <w:tr w14:paraId="43505B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noWrap w:val="0"/>
            <w:vAlign w:val="center"/>
          </w:tcPr>
          <w:p w14:paraId="460D31D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sz w:val="15"/>
                <w:szCs w:val="15"/>
                <w:highlight w:val="none"/>
                <w:u w:val="none"/>
              </w:rPr>
              <w:t>Scale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noWrap w:val="0"/>
            <w:vAlign w:val="center"/>
          </w:tcPr>
          <w:p w14:paraId="5957BA06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家庭成员规模（人）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9B1C4A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4A9DE1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3.551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EAE92B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1.415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34F130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7E24BF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11</w:t>
            </w:r>
          </w:p>
        </w:tc>
      </w:tr>
      <w:tr w14:paraId="527BD4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noWrap w:val="0"/>
            <w:vAlign w:val="center"/>
          </w:tcPr>
          <w:p w14:paraId="743ACABF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Debt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noWrap w:val="0"/>
            <w:vAlign w:val="center"/>
          </w:tcPr>
          <w:p w14:paraId="4B7D4369">
            <w:pPr>
              <w:spacing w:beforeLines="0" w:afterLines="0"/>
              <w:jc w:val="center"/>
              <w:rPr>
                <w:rFonts w:hint="default" w:eastAsia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家庭债务总量（万元）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370B5A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E5C8B8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3.162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C18281B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12.90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2F7095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B3346E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1000</w:t>
            </w:r>
          </w:p>
        </w:tc>
      </w:tr>
      <w:tr w14:paraId="4D315B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noWrap w:val="0"/>
            <w:vAlign w:val="center"/>
          </w:tcPr>
          <w:p w14:paraId="7EFB5D3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sz w:val="15"/>
                <w:szCs w:val="15"/>
                <w:highlight w:val="none"/>
                <w:u w:val="none"/>
              </w:rPr>
              <w:t>Onschool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noWrap w:val="0"/>
            <w:vAlign w:val="center"/>
          </w:tcPr>
          <w:p w14:paraId="3664C21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家庭是否有在校学生虚拟变量（有=1，无=0）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83FF41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417E37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0.458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EEF32B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0.498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A13E05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0DE1AA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</w:t>
            </w:r>
          </w:p>
        </w:tc>
      </w:tr>
      <w:tr w14:paraId="6D82AE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noWrap w:val="0"/>
            <w:vAlign w:val="center"/>
          </w:tcPr>
          <w:p w14:paraId="24A5BDF5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Disable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noWrap w:val="0"/>
            <w:vAlign w:val="center"/>
          </w:tcPr>
          <w:p w14:paraId="7D471FB3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家庭是否有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残疾成员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虚拟变量（有=1，无=0）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59C373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D34AE47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0.08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25DD79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0.281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8F1A8C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93FCF2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</w:t>
            </w:r>
          </w:p>
        </w:tc>
      </w:tr>
      <w:tr w14:paraId="139CA6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</w:tcBorders>
            <w:noWrap w:val="0"/>
            <w:vAlign w:val="center"/>
          </w:tcPr>
          <w:p w14:paraId="506D8A38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Education</w:t>
            </w:r>
            <w:r>
              <w:rPr>
                <w:rFonts w:hint="eastAsia" w:cs="Times New Roman"/>
                <w:i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ht</w:t>
            </w:r>
          </w:p>
        </w:tc>
        <w:tc>
          <w:tcPr>
            <w:tcW w:w="2086" w:type="pct"/>
            <w:tcBorders>
              <w:top w:val="nil"/>
            </w:tcBorders>
            <w:noWrap w:val="0"/>
            <w:vAlign w:val="center"/>
          </w:tcPr>
          <w:p w14:paraId="0D31A0D5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u w:val="none"/>
              </w:rPr>
              <w:t>家庭成员最高受教育程度（年）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058583A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6F66344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11.03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3EB54D7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3.411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4CB1D0F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737B6D7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22</w:t>
            </w:r>
          </w:p>
        </w:tc>
      </w:tr>
      <w:tr w14:paraId="5A8E37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E557176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第二栏：区县层次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指标</w:t>
            </w:r>
          </w:p>
        </w:tc>
      </w:tr>
      <w:tr w14:paraId="5C4BFC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3898962E"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ubway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2086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77AFFEA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区县汇总接近中心度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4D3E686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2491D8F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0.127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2298DB9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0.483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173FE42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</w:t>
            </w:r>
          </w:p>
        </w:tc>
        <w:tc>
          <w:tcPr>
            <w:tcW w:w="429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5305B31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4.346</w:t>
            </w:r>
          </w:p>
        </w:tc>
      </w:tr>
      <w:tr w14:paraId="3ED942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56D541F"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Lnpergdp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1F64C9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人均地区生产总值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人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的对数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F19C62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388C0B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10.65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585D7A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0.667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BDEED4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8.907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B8C624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12.35</w:t>
            </w:r>
          </w:p>
        </w:tc>
      </w:tr>
      <w:tr w14:paraId="591EB6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91A434C"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Industrial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01C848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第二产业增加值占GDP比重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632E15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A597C4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0.445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34853C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0.148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AF88A5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F2D361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0.903</w:t>
            </w:r>
          </w:p>
        </w:tc>
      </w:tr>
      <w:tr w14:paraId="66EB9D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2B5D252"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Lnn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umber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FFE9C5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规模以上工业企业数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个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的对数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079D43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AB8B34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4.507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2B031C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1.115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8EC605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1.386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6BA56A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7.824</w:t>
            </w:r>
          </w:p>
        </w:tc>
      </w:tr>
      <w:tr w14:paraId="1E3E2A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8E81C73"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Lnexport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E98085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出口额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</w:rPr>
              <w:t>美元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的对数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BC8A35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A9CB8C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9.558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4C2C71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1.504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717D8C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3.296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5EF977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15.57</w:t>
            </w:r>
          </w:p>
        </w:tc>
      </w:tr>
      <w:tr w14:paraId="2722B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89E2F00"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Density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2086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281789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人口密度（百人/平方公里）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818CDD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24FF78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7.455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86607EB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15.43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56855BE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0.01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AF0FEC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150</w:t>
            </w:r>
          </w:p>
        </w:tc>
      </w:tr>
      <w:tr w14:paraId="17FE4E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3150672F"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Road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2086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6C2C0CF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路网密度（公里/平方公里）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147E9128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27487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667077A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1.014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0CFC836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1.533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18E5E88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0.014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04C79D9B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10.73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0</w:t>
            </w:r>
          </w:p>
        </w:tc>
      </w:tr>
    </w:tbl>
    <w:p w14:paraId="50AE9E90">
      <w:pPr>
        <w:rPr>
          <w:rFonts w:hint="default"/>
          <w:color w:val="auto"/>
          <w:highlight w:val="none"/>
          <w:u w:val="none"/>
          <w:lang w:val="en-US" w:eastAsia="zh-CN"/>
        </w:rPr>
      </w:pPr>
    </w:p>
    <w:p w14:paraId="77B6BCBF">
      <w:pPr>
        <w:pStyle w:val="3"/>
        <w:bidi w:val="0"/>
        <w:rPr>
          <w:rFonts w:hint="default"/>
          <w:color w:val="auto"/>
          <w:highlight w:val="none"/>
          <w:u w:val="none"/>
          <w:lang w:val="en-US" w:eastAsia="zh-CN"/>
        </w:rPr>
      </w:pPr>
      <w:r>
        <w:rPr>
          <w:rFonts w:hint="eastAsia"/>
          <w:color w:val="auto"/>
          <w:highlight w:val="none"/>
          <w:u w:val="none"/>
          <w:lang w:val="en-US" w:eastAsia="zh-CN"/>
        </w:rPr>
        <w:t>附录三：稳健性检验</w:t>
      </w:r>
      <w:bookmarkStart w:id="0" w:name="_GoBack"/>
      <w:bookmarkEnd w:id="0"/>
    </w:p>
    <w:p w14:paraId="1F2B088D">
      <w:pPr>
        <w:pStyle w:val="5"/>
        <w:numPr>
          <w:ilvl w:val="0"/>
          <w:numId w:val="0"/>
        </w:numPr>
        <w:bidi w:val="0"/>
        <w:ind w:firstLine="420" w:firstLineChars="200"/>
        <w:rPr>
          <w:rFonts w:hint="eastAsia"/>
          <w:color w:val="auto"/>
          <w:highlight w:val="none"/>
          <w:u w:val="none"/>
          <w:lang w:val="en-US" w:eastAsia="zh-CN"/>
        </w:rPr>
      </w:pPr>
      <w:r>
        <w:rPr>
          <w:rFonts w:hint="eastAsia"/>
          <w:color w:val="auto"/>
          <w:highlight w:val="none"/>
          <w:u w:val="none"/>
          <w:lang w:val="en-US" w:eastAsia="zh-CN"/>
        </w:rPr>
        <w:t>1.改变被解释变量</w:t>
      </w:r>
    </w:p>
    <w:p w14:paraId="0FD00A02">
      <w:pPr>
        <w:ind w:firstLine="420" w:firstLineChars="200"/>
        <w:rPr>
          <w:rFonts w:hint="eastAsia"/>
          <w:color w:val="auto"/>
          <w:highlight w:val="none"/>
          <w:u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u w:val="none"/>
        </w:rPr>
        <w:t>本文获取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碳排放总量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CO2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_all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vertAlign w:val="subscript"/>
          <w:lang w:val="en-US" w:eastAsia="zh-CN"/>
        </w:rPr>
        <w:t>mt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万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吨）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、平方公里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碳排放指标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CO2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_area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vertAlign w:val="subscript"/>
          <w:lang w:val="en-US" w:eastAsia="zh-CN"/>
        </w:rPr>
        <w:t>mt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（吨/平方公里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），替换被解释变量进行回归，结果参见表4列（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1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）和（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2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）。</w:t>
      </w:r>
      <w:r>
        <w:rPr>
          <w:rFonts w:hint="eastAsia"/>
          <w:iCs/>
          <w:color w:val="auto"/>
          <w:sz w:val="21"/>
          <w:szCs w:val="21"/>
          <w:highlight w:val="none"/>
          <w:u w:val="none"/>
          <w:lang w:val="en-US" w:eastAsia="zh-CN"/>
        </w:rPr>
        <w:t>两列</w:t>
      </w:r>
      <w:r>
        <w:rPr>
          <w:rFonts w:hint="eastAsia"/>
          <w:iCs/>
          <w:color w:val="auto"/>
          <w:sz w:val="21"/>
          <w:szCs w:val="21"/>
          <w:highlight w:val="none"/>
          <w:u w:val="none"/>
        </w:rPr>
        <w:t>的回归结果均显著为负</w:t>
      </w:r>
      <w:r>
        <w:rPr>
          <w:iCs/>
          <w:color w:val="auto"/>
          <w:sz w:val="21"/>
          <w:szCs w:val="21"/>
          <w:highlight w:val="none"/>
          <w:u w:val="none"/>
        </w:rPr>
        <w:t>，</w:t>
      </w:r>
      <w:r>
        <w:rPr>
          <w:rFonts w:hint="eastAsia"/>
          <w:iCs/>
          <w:color w:val="auto"/>
          <w:sz w:val="21"/>
          <w:szCs w:val="21"/>
          <w:highlight w:val="none"/>
          <w:u w:val="none"/>
          <w:lang w:val="en-US" w:eastAsia="zh-CN"/>
        </w:rPr>
        <w:t>与基准回归一致</w:t>
      </w:r>
      <w:r>
        <w:rPr>
          <w:rFonts w:hint="eastAsia"/>
          <w:iCs/>
          <w:color w:val="auto"/>
          <w:sz w:val="21"/>
          <w:szCs w:val="21"/>
          <w:highlight w:val="none"/>
          <w:u w:val="none"/>
        </w:rPr>
        <w:t>。</w:t>
      </w:r>
      <w:r>
        <w:rPr>
          <w:rFonts w:hint="eastAsia"/>
          <w:iCs/>
          <w:color w:val="auto"/>
          <w:sz w:val="21"/>
          <w:szCs w:val="21"/>
          <w:highlight w:val="none"/>
          <w:u w:val="none"/>
          <w:lang w:val="en-US" w:eastAsia="zh-CN"/>
        </w:rPr>
        <w:t>结果表明，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none"/>
          <w:lang w:val="en-US" w:eastAsia="zh-CN"/>
        </w:rPr>
        <w:t>区县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u w:val="none"/>
          <w:lang w:val="en-US" w:eastAsia="zh-CN"/>
        </w:rPr>
        <w:t>地铁网络通达程度</w:t>
      </w:r>
      <w:r>
        <w:rPr>
          <w:rFonts w:hint="eastAsia" w:cs="Times New Roman"/>
          <w:color w:val="auto"/>
          <w:sz w:val="21"/>
          <w:szCs w:val="21"/>
          <w:highlight w:val="none"/>
          <w:u w:val="none"/>
          <w:lang w:val="en-US" w:eastAsia="zh-CN"/>
        </w:rPr>
        <w:t>提高1单位，当地碳排放总量平均减少18.557万吨，地区碳排放量平均减少</w:t>
      </w:r>
      <w:r>
        <w:rPr>
          <w:rFonts w:hint="default"/>
          <w:color w:val="auto"/>
          <w:sz w:val="21"/>
          <w:szCs w:val="21"/>
          <w:highlight w:val="none"/>
          <w:u w:val="none"/>
        </w:rPr>
        <w:t>0.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204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none"/>
        </w:rPr>
        <w:t>吨</w:t>
      </w:r>
      <w:r>
        <w:rPr>
          <w:rFonts w:hint="eastAsia" w:cs="Times New Roman"/>
          <w:color w:val="auto"/>
          <w:sz w:val="21"/>
          <w:szCs w:val="21"/>
          <w:highlight w:val="none"/>
          <w:u w:val="none"/>
          <w:lang w:val="en-US" w:eastAsia="zh-CN"/>
        </w:rPr>
        <w:t>/平方公里。</w:t>
      </w:r>
    </w:p>
    <w:p w14:paraId="08808F2A">
      <w:pPr>
        <w:pStyle w:val="5"/>
        <w:numPr>
          <w:ilvl w:val="0"/>
          <w:numId w:val="0"/>
        </w:numPr>
        <w:bidi w:val="0"/>
        <w:ind w:leftChars="200"/>
        <w:rPr>
          <w:rFonts w:hint="eastAsia"/>
          <w:color w:val="auto"/>
          <w:highlight w:val="none"/>
          <w:u w:val="none"/>
          <w:lang w:val="en-US" w:eastAsia="zh-CN"/>
        </w:rPr>
      </w:pPr>
      <w:r>
        <w:rPr>
          <w:rFonts w:hint="eastAsia"/>
          <w:color w:val="auto"/>
          <w:highlight w:val="none"/>
          <w:u w:val="none"/>
          <w:lang w:val="en-US" w:eastAsia="zh-CN"/>
        </w:rPr>
        <w:t>2.改变核心解释变量</w:t>
      </w:r>
    </w:p>
    <w:p w14:paraId="445AD24B">
      <w:pPr>
        <w:ind w:firstLine="420" w:firstLineChars="200"/>
        <w:jc w:val="both"/>
        <w:rPr>
          <w:rFonts w:hint="eastAsia" w:cs="Times New Roman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为进一步验证回归结果的稳健性并全面衡量地铁网络通达程度，本文将核心解释变量替换为</w:t>
      </w:r>
      <w:r>
        <w:rPr>
          <w:rFonts w:hint="default" w:ascii="Times New Roman" w:hAnsi="Times New Roman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平均接近中心度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Mean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_subway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vertAlign w:val="subscript"/>
          <w:lang w:val="en-US" w:eastAsia="zh-CN"/>
        </w:rPr>
        <w:t>mt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）、</w:t>
      </w:r>
      <w:r>
        <w:rPr>
          <w:rFonts w:hint="default" w:ascii="Times New Roman" w:hAnsi="Times New Roman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加总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点度</w:t>
      </w:r>
      <w:r>
        <w:rPr>
          <w:rFonts w:hint="default" w:ascii="Times New Roman" w:hAnsi="Times New Roman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中心度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DC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_subway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vertAlign w:val="subscript"/>
          <w:lang w:val="en-US" w:eastAsia="zh-CN"/>
        </w:rPr>
        <w:t>mt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）</w:t>
      </w:r>
      <w:r>
        <w:rPr>
          <w:rFonts w:hint="default" w:ascii="Times New Roman" w:hAnsi="Times New Roman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、加总中介中心度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BC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_subway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vertAlign w:val="subscript"/>
          <w:lang w:val="en-US" w:eastAsia="zh-CN"/>
        </w:rPr>
        <w:t>mt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），回归结果分别参见表4列（3）到列（5）</w:t>
      </w:r>
      <w:r>
        <w:rPr>
          <w:rFonts w:hint="default" w:ascii="Times New Roman" w:hAnsi="Times New Roman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。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平均接近中心度能够更加直观地反映区县内站点本身的通达水平，排除站点设置密度的影响；</w:t>
      </w:r>
      <w:r>
        <w:rPr>
          <w:rFonts w:hint="default" w:ascii="Times New Roman" w:hAnsi="Times New Roman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加总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点度</w:t>
      </w:r>
      <w:r>
        <w:rPr>
          <w:rFonts w:hint="default" w:ascii="Times New Roman" w:hAnsi="Times New Roman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中心度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能够直接反映地铁线路换乘或者交叉的频率，排除站点地理位置和线路通达次序的影响；</w:t>
      </w:r>
      <w:r>
        <w:rPr>
          <w:rFonts w:hint="default" w:ascii="Times New Roman" w:hAnsi="Times New Roman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加总中介中心度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能够侧面反映站点</w:t>
      </w:r>
      <w:r>
        <w:rPr>
          <w:rFonts w:hint="default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在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地铁</w:t>
      </w:r>
      <w:r>
        <w:rPr>
          <w:rFonts w:hint="default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网络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客</w:t>
      </w:r>
      <w:r>
        <w:rPr>
          <w:rFonts w:hint="default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流控制中的</w:t>
      </w:r>
      <w:r>
        <w:rPr>
          <w:rFonts w:hint="eastAsia" w:cs="Times New Roman"/>
          <w:i w:val="0"/>
          <w:color w:val="auto"/>
          <w:sz w:val="21"/>
          <w:szCs w:val="21"/>
          <w:highlight w:val="none"/>
          <w:u w:val="none"/>
          <w:lang w:val="en-US" w:eastAsia="zh-CN"/>
        </w:rPr>
        <w:t>作用，强化接近枢纽站点的重要性（接近换乘站点抑或网络结构中心站点）。</w:t>
      </w:r>
      <w:r>
        <w:rPr>
          <w:rFonts w:hint="eastAsia" w:cs="Times New Roman" w:eastAsiaTheme="minorEastAsia"/>
          <w:color w:val="auto"/>
          <w:sz w:val="21"/>
          <w:szCs w:val="21"/>
          <w:highlight w:val="none"/>
          <w:u w:val="none"/>
          <w:lang w:val="en-US" w:eastAsia="zh-CN"/>
        </w:rPr>
        <w:t>上述</w:t>
      </w:r>
      <w:r>
        <w:rPr>
          <w:rFonts w:hint="eastAsia" w:cs="Times New Roman"/>
          <w:color w:val="auto"/>
          <w:sz w:val="21"/>
          <w:szCs w:val="21"/>
          <w:highlight w:val="none"/>
          <w:u w:val="none"/>
          <w:lang w:val="en-US" w:eastAsia="zh-CN"/>
        </w:rPr>
        <w:t>三列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/>
        </w:rPr>
        <w:t>系数方向</w:t>
      </w:r>
      <w:r>
        <w:rPr>
          <w:rFonts w:hint="eastAsia" w:cs="Times New Roman"/>
          <w:color w:val="auto"/>
          <w:sz w:val="21"/>
          <w:szCs w:val="21"/>
          <w:highlight w:val="none"/>
          <w:u w:val="none"/>
          <w:lang w:val="en-US" w:eastAsia="zh-CN"/>
        </w:rPr>
        <w:t>均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/>
        </w:rPr>
        <w:t>与基准回归结果一致</w:t>
      </w:r>
      <w:r>
        <w:rPr>
          <w:rFonts w:hint="eastAsia" w:cs="Times New Roman"/>
          <w:color w:val="auto"/>
          <w:sz w:val="21"/>
          <w:szCs w:val="21"/>
          <w:highlight w:val="none"/>
          <w:u w:val="none"/>
          <w:lang w:eastAsia="zh-CN"/>
        </w:rPr>
        <w:t>，</w:t>
      </w:r>
      <w:r>
        <w:rPr>
          <w:rFonts w:hint="eastAsia" w:cs="Times New Roman"/>
          <w:color w:val="auto"/>
          <w:sz w:val="21"/>
          <w:szCs w:val="21"/>
          <w:highlight w:val="none"/>
          <w:u w:val="none"/>
          <w:lang w:val="en-US" w:eastAsia="zh-CN"/>
        </w:rPr>
        <w:t>印证了地铁网络测算指标的稳健性。</w:t>
      </w:r>
    </w:p>
    <w:p w14:paraId="1AF62D7F">
      <w:pPr>
        <w:pStyle w:val="5"/>
        <w:bidi w:val="0"/>
        <w:rPr>
          <w:rFonts w:hint="eastAsia"/>
          <w:color w:val="auto"/>
          <w:highlight w:val="none"/>
          <w:u w:val="none"/>
          <w:lang w:val="en-US" w:eastAsia="zh-CN"/>
        </w:rPr>
      </w:pPr>
      <w:r>
        <w:rPr>
          <w:rFonts w:hint="eastAsia"/>
          <w:color w:val="auto"/>
          <w:highlight w:val="none"/>
          <w:u w:val="none"/>
          <w:lang w:val="en-US" w:eastAsia="zh-CN"/>
        </w:rPr>
        <w:t>3.改变样本选择</w:t>
      </w:r>
    </w:p>
    <w:p w14:paraId="1D8566EF">
      <w:pPr>
        <w:ind w:firstLine="420" w:firstLineChars="200"/>
        <w:rPr>
          <w:rFonts w:hint="default" w:eastAsia="宋体"/>
          <w:color w:val="auto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highlight w:val="none"/>
          <w:u w:val="none"/>
          <w:lang w:val="en-US" w:eastAsia="zh-CN"/>
        </w:rPr>
        <w:t>由于部分</w:t>
      </w:r>
      <w:r>
        <w:rPr>
          <w:rFonts w:hint="eastAsia" w:cs="Times New Roman"/>
          <w:color w:val="auto"/>
          <w:highlight w:val="none"/>
          <w:u w:val="none"/>
          <w:lang w:val="en-US" w:eastAsia="zh-CN"/>
        </w:rPr>
        <w:t>省份、</w:t>
      </w:r>
      <w:r>
        <w:rPr>
          <w:rFonts w:hint="default" w:ascii="Times New Roman" w:hAnsi="Times New Roman" w:eastAsia="宋体" w:cs="Times New Roman"/>
          <w:color w:val="auto"/>
          <w:highlight w:val="none"/>
          <w:u w:val="none"/>
          <w:lang w:val="en-US" w:eastAsia="zh-CN"/>
        </w:rPr>
        <w:t>城市</w:t>
      </w:r>
      <w:r>
        <w:rPr>
          <w:rFonts w:hint="eastAsia" w:cs="Times New Roman"/>
          <w:color w:val="auto"/>
          <w:highlight w:val="none"/>
          <w:u w:val="none"/>
          <w:lang w:val="en-US" w:eastAsia="zh-CN"/>
        </w:rPr>
        <w:t>规划地铁的投资金额不足、地理条件受限</w:t>
      </w:r>
      <w:r>
        <w:rPr>
          <w:rFonts w:hint="default" w:ascii="Times New Roman" w:hAnsi="Times New Roman" w:eastAsia="宋体" w:cs="Times New Roman"/>
          <w:color w:val="auto"/>
          <w:highlight w:val="none"/>
          <w:u w:val="none"/>
          <w:lang w:val="en-US" w:eastAsia="zh-CN"/>
        </w:rPr>
        <w:t>，</w:t>
      </w:r>
      <w:r>
        <w:rPr>
          <w:rFonts w:hint="eastAsia" w:cs="Times New Roman"/>
          <w:color w:val="auto"/>
          <w:highlight w:val="none"/>
          <w:u w:val="none"/>
          <w:lang w:val="en-US" w:eastAsia="zh-CN"/>
        </w:rPr>
        <w:t>在本文研究期间内未能开通相应的站点，尽管当地居民在实际生产、生活中有地铁出行需求。</w:t>
      </w:r>
      <w:r>
        <w:rPr>
          <w:rFonts w:hint="default" w:ascii="Times New Roman" w:hAnsi="Times New Roman" w:eastAsia="宋体" w:cs="Times New Roman"/>
          <w:color w:val="auto"/>
          <w:highlight w:val="none"/>
          <w:u w:val="none"/>
          <w:lang w:val="en-US" w:eastAsia="zh-CN"/>
        </w:rPr>
        <w:t>因此，为了消除这部分绝对站点数量持续为</w:t>
      </w:r>
      <w:r>
        <w:rPr>
          <w:rFonts w:hint="eastAsia" w:cs="Times New Roman"/>
          <w:color w:val="auto"/>
          <w:highlight w:val="none"/>
          <w:u w:val="none"/>
          <w:lang w:val="en-US" w:eastAsia="zh-CN"/>
        </w:rPr>
        <w:t>零的</w:t>
      </w:r>
      <w:r>
        <w:rPr>
          <w:rFonts w:hint="default" w:ascii="Times New Roman" w:hAnsi="Times New Roman" w:eastAsia="宋体" w:cs="Times New Roman"/>
          <w:color w:val="auto"/>
          <w:highlight w:val="none"/>
          <w:u w:val="none"/>
          <w:lang w:val="en-US" w:eastAsia="zh-CN"/>
        </w:rPr>
        <w:t>地区对基准结果产生的干扰</w:t>
      </w:r>
      <w:r>
        <w:rPr>
          <w:rFonts w:hint="eastAsia" w:cs="Times New Roman"/>
          <w:color w:val="auto"/>
          <w:highlight w:val="none"/>
          <w:u w:val="none"/>
          <w:lang w:val="en-US" w:eastAsia="zh-CN"/>
        </w:rPr>
        <w:t>，表4列（6）和列（7）分别删除了研究期间持续没有开通地铁的省份和城市。另外，</w:t>
      </w:r>
      <w:r>
        <w:rPr>
          <w:rFonts w:hint="default" w:ascii="Times New Roman" w:hAnsi="Times New Roman" w:cs="Times New Roman" w:eastAsiaTheme="minorEastAsia"/>
          <w:iCs/>
          <w:color w:val="auto"/>
          <w:szCs w:val="18"/>
          <w:highlight w:val="none"/>
          <w:u w:val="none"/>
        </w:rPr>
        <w:t>直辖市的行政地位与省、自治区、特别行政区相同，其政治属性、经济禀赋、</w:t>
      </w:r>
      <w:r>
        <w:rPr>
          <w:rFonts w:hint="default" w:ascii="Times New Roman" w:hAnsi="Times New Roman" w:cs="Times New Roman" w:eastAsiaTheme="minorEastAsia"/>
          <w:iCs/>
          <w:color w:val="auto"/>
          <w:szCs w:val="18"/>
          <w:highlight w:val="none"/>
          <w:u w:val="none"/>
          <w:lang w:val="en-US" w:eastAsia="zh-CN"/>
        </w:rPr>
        <w:t>生活水平</w:t>
      </w:r>
      <w:r>
        <w:rPr>
          <w:rFonts w:hint="default" w:ascii="Times New Roman" w:hAnsi="Times New Roman" w:cs="Times New Roman" w:eastAsiaTheme="minorEastAsia"/>
          <w:iCs/>
          <w:color w:val="auto"/>
          <w:szCs w:val="18"/>
          <w:highlight w:val="none"/>
          <w:u w:val="none"/>
        </w:rPr>
        <w:t>、发展前景等诸多方面均会与非直辖市城市存在</w:t>
      </w:r>
      <w:r>
        <w:rPr>
          <w:rFonts w:hint="eastAsia" w:cs="Times New Roman" w:eastAsiaTheme="minorEastAsia"/>
          <w:iCs/>
          <w:color w:val="auto"/>
          <w:szCs w:val="18"/>
          <w:highlight w:val="none"/>
          <w:u w:val="none"/>
          <w:lang w:val="en-US" w:eastAsia="zh-CN"/>
        </w:rPr>
        <w:t>明显</w:t>
      </w:r>
      <w:r>
        <w:rPr>
          <w:rFonts w:hint="default" w:ascii="Times New Roman" w:hAnsi="Times New Roman" w:cs="Times New Roman" w:eastAsiaTheme="minorEastAsia"/>
          <w:iCs/>
          <w:color w:val="auto"/>
          <w:szCs w:val="18"/>
          <w:highlight w:val="none"/>
          <w:u w:val="none"/>
        </w:rPr>
        <w:t>差异，因此将它们</w:t>
      </w:r>
      <w:r>
        <w:rPr>
          <w:rFonts w:hint="default" w:ascii="Times New Roman" w:hAnsi="Times New Roman" w:cs="Times New Roman" w:eastAsiaTheme="minorEastAsia"/>
          <w:iCs/>
          <w:color w:val="auto"/>
          <w:szCs w:val="18"/>
          <w:highlight w:val="none"/>
          <w:u w:val="none"/>
          <w:lang w:val="en-US" w:eastAsia="zh-CN"/>
        </w:rPr>
        <w:t>包括在样本内</w:t>
      </w:r>
      <w:r>
        <w:rPr>
          <w:rFonts w:hint="default" w:ascii="Times New Roman" w:hAnsi="Times New Roman" w:cs="Times New Roman" w:eastAsiaTheme="minorEastAsia"/>
          <w:color w:val="auto"/>
          <w:szCs w:val="18"/>
          <w:highlight w:val="none"/>
          <w:u w:val="none"/>
        </w:rPr>
        <w:t>可能会</w:t>
      </w:r>
      <w:r>
        <w:rPr>
          <w:rFonts w:hint="default" w:ascii="Times New Roman" w:hAnsi="Times New Roman" w:cs="Times New Roman" w:eastAsiaTheme="minorEastAsia"/>
          <w:color w:val="auto"/>
          <w:szCs w:val="18"/>
          <w:highlight w:val="none"/>
          <w:u w:val="none"/>
          <w:lang w:val="en-US" w:eastAsia="zh-CN"/>
        </w:rPr>
        <w:t>干扰</w:t>
      </w:r>
      <w:r>
        <w:rPr>
          <w:rFonts w:hint="default" w:ascii="Times New Roman" w:hAnsi="Times New Roman" w:cs="Times New Roman" w:eastAsiaTheme="minorEastAsia"/>
          <w:color w:val="auto"/>
          <w:szCs w:val="18"/>
          <w:highlight w:val="none"/>
          <w:u w:val="none"/>
        </w:rPr>
        <w:t>基准回归结果</w:t>
      </w:r>
      <w:r>
        <w:rPr>
          <w:rFonts w:hint="default" w:ascii="Times New Roman" w:hAnsi="Times New Roman" w:cs="Times New Roman"/>
          <w:color w:val="auto"/>
          <w:szCs w:val="18"/>
          <w:highlight w:val="none"/>
          <w:u w:val="none"/>
          <w:lang w:val="en-US" w:eastAsia="zh-CN"/>
        </w:rPr>
        <w:t>的稳健性</w:t>
      </w:r>
      <w:r>
        <w:rPr>
          <w:rFonts w:hint="default" w:ascii="Times New Roman" w:hAnsi="Times New Roman" w:cs="Times New Roman" w:eastAsiaTheme="minorEastAsia"/>
          <w:color w:val="auto"/>
          <w:szCs w:val="18"/>
          <w:highlight w:val="none"/>
          <w:u w:val="none"/>
        </w:rPr>
        <w:t>。</w:t>
      </w:r>
      <w:r>
        <w:rPr>
          <w:rFonts w:hint="eastAsia" w:cs="Times New Roman" w:eastAsiaTheme="minorEastAsia"/>
          <w:color w:val="auto"/>
          <w:szCs w:val="18"/>
          <w:highlight w:val="none"/>
          <w:u w:val="none"/>
          <w:lang w:val="en-US" w:eastAsia="zh-CN"/>
        </w:rPr>
        <w:t>为消除这种影响，</w:t>
      </w:r>
      <w:r>
        <w:rPr>
          <w:rFonts w:hint="default" w:ascii="Times New Roman" w:hAnsi="Times New Roman" w:cs="Times New Roman" w:eastAsiaTheme="minorEastAsia"/>
          <w:color w:val="auto"/>
          <w:szCs w:val="18"/>
          <w:highlight w:val="none"/>
          <w:u w:val="none"/>
          <w:lang w:val="en-US" w:eastAsia="zh-CN"/>
        </w:rPr>
        <w:t>表</w:t>
      </w:r>
      <w:r>
        <w:rPr>
          <w:rFonts w:hint="eastAsia" w:cs="Times New Roman"/>
          <w:color w:val="auto"/>
          <w:szCs w:val="18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color w:val="auto"/>
          <w:szCs w:val="18"/>
          <w:highlight w:val="none"/>
          <w:u w:val="none"/>
          <w:lang w:val="en-US" w:eastAsia="zh-CN"/>
        </w:rPr>
        <w:t>列（</w:t>
      </w:r>
      <w:r>
        <w:rPr>
          <w:rFonts w:hint="eastAsia" w:cs="Times New Roman" w:eastAsiaTheme="minorEastAsia"/>
          <w:color w:val="auto"/>
          <w:szCs w:val="18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Cs w:val="18"/>
          <w:highlight w:val="none"/>
          <w:u w:val="none"/>
          <w:lang w:val="en-US" w:eastAsia="zh-CN"/>
        </w:rPr>
        <w:t>）</w:t>
      </w:r>
      <w:r>
        <w:rPr>
          <w:rFonts w:hint="default" w:ascii="Times New Roman" w:hAnsi="Times New Roman" w:cs="Times New Roman" w:eastAsiaTheme="minorEastAsia"/>
          <w:color w:val="auto"/>
          <w:szCs w:val="18"/>
          <w:highlight w:val="none"/>
          <w:u w:val="none"/>
          <w:lang w:val="en-US" w:eastAsia="zh-CN"/>
        </w:rPr>
        <w:t>剔除了直辖市样本</w:t>
      </w:r>
      <w:r>
        <w:rPr>
          <w:rFonts w:hint="eastAsia" w:cs="Times New Roman" w:eastAsiaTheme="minorEastAsia"/>
          <w:color w:val="auto"/>
          <w:szCs w:val="18"/>
          <w:highlight w:val="none"/>
          <w:u w:val="none"/>
          <w:lang w:val="en-US" w:eastAsia="zh-CN"/>
        </w:rPr>
        <w:t>。上述</w:t>
      </w:r>
      <w:r>
        <w:rPr>
          <w:rFonts w:hint="eastAsia" w:cs="Times New Roman"/>
          <w:color w:val="auto"/>
          <w:highlight w:val="none"/>
          <w:u w:val="none"/>
          <w:lang w:val="en-US" w:eastAsia="zh-CN"/>
        </w:rPr>
        <w:t>三列</w:t>
      </w:r>
      <w:r>
        <w:rPr>
          <w:rFonts w:hint="default" w:ascii="Times New Roman" w:hAnsi="Times New Roman" w:eastAsia="宋体" w:cs="Times New Roman"/>
          <w:color w:val="auto"/>
          <w:highlight w:val="none"/>
          <w:u w:val="none"/>
        </w:rPr>
        <w:t>系数方向与基准回归结果一致</w:t>
      </w:r>
      <w:r>
        <w:rPr>
          <w:rFonts w:hint="eastAsia" w:cs="Times New Roman"/>
          <w:color w:val="auto"/>
          <w:highlight w:val="none"/>
          <w:u w:val="none"/>
          <w:lang w:eastAsia="zh-CN"/>
        </w:rPr>
        <w:t>，</w:t>
      </w:r>
      <w:r>
        <w:rPr>
          <w:rFonts w:hint="eastAsia" w:cs="Times New Roman"/>
          <w:color w:val="auto"/>
          <w:highlight w:val="none"/>
          <w:u w:val="none"/>
          <w:lang w:val="en-US" w:eastAsia="zh-CN"/>
        </w:rPr>
        <w:t>印证了样本选择的稳健性。</w:t>
      </w:r>
    </w:p>
    <w:p w14:paraId="00519EF8">
      <w:pPr>
        <w:pStyle w:val="5"/>
        <w:bidi w:val="0"/>
        <w:rPr>
          <w:color w:val="auto"/>
          <w:highlight w:val="none"/>
          <w:u w:val="none"/>
        </w:rPr>
      </w:pPr>
      <w:r>
        <w:rPr>
          <w:rFonts w:hint="eastAsia"/>
          <w:color w:val="auto"/>
          <w:highlight w:val="none"/>
          <w:u w:val="none"/>
          <w:lang w:val="en-US" w:eastAsia="zh-CN"/>
        </w:rPr>
        <w:t>4.</w:t>
      </w:r>
      <w:r>
        <w:rPr>
          <w:rFonts w:hint="eastAsia"/>
          <w:color w:val="auto"/>
          <w:highlight w:val="none"/>
          <w:u w:val="none"/>
        </w:rPr>
        <w:t>排除其他政策干扰</w:t>
      </w:r>
    </w:p>
    <w:p w14:paraId="564C357B">
      <w:pPr>
        <w:autoSpaceDE w:val="0"/>
        <w:autoSpaceDN w:val="0"/>
        <w:adjustRightInd w:val="0"/>
        <w:ind w:firstLine="420" w:firstLineChars="200"/>
        <w:rPr>
          <w:rFonts w:ascii="宋体" w:hAnsi="宋体" w:eastAsia="宋体" w:cs="Times New Roman"/>
          <w:iCs/>
          <w:color w:val="auto"/>
          <w:kern w:val="0"/>
          <w:sz w:val="21"/>
          <w:szCs w:val="21"/>
          <w:highlight w:val="none"/>
          <w:u w:val="none"/>
        </w:rPr>
      </w:pPr>
      <w:r>
        <w:rPr>
          <w:rFonts w:eastAsia="宋体" w:cs="Times New Roman"/>
          <w:color w:val="auto"/>
          <w:kern w:val="0"/>
          <w:sz w:val="21"/>
          <w:szCs w:val="21"/>
          <w:highlight w:val="none"/>
          <w:u w:val="none"/>
        </w:rPr>
        <w:t>中国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污染治理</w:t>
      </w:r>
      <w:r>
        <w:rPr>
          <w:rFonts w:eastAsia="宋体" w:cs="Times New Roman"/>
          <w:color w:val="auto"/>
          <w:kern w:val="0"/>
          <w:sz w:val="21"/>
          <w:szCs w:val="21"/>
          <w:highlight w:val="none"/>
          <w:u w:val="none"/>
        </w:rPr>
        <w:t>的政策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体系复杂多样，针对碳排放或者其他污染的</w:t>
      </w:r>
      <w:r>
        <w:rPr>
          <w:rFonts w:eastAsia="宋体" w:cs="Times New Roman"/>
          <w:color w:val="auto"/>
          <w:kern w:val="0"/>
          <w:sz w:val="21"/>
          <w:szCs w:val="21"/>
          <w:highlight w:val="none"/>
          <w:u w:val="none"/>
        </w:rPr>
        <w:t>相关政策可能会交叉实施。为排除其他干扰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，</w:t>
      </w:r>
      <w:r>
        <w:rPr>
          <w:rFonts w:eastAsia="宋体" w:cs="Times New Roman"/>
          <w:color w:val="auto"/>
          <w:kern w:val="0"/>
          <w:sz w:val="21"/>
          <w:szCs w:val="21"/>
          <w:highlight w:val="none"/>
          <w:u w:val="none"/>
        </w:rPr>
        <w:t>本文</w:t>
      </w:r>
      <w:r>
        <w:rPr>
          <w:rFonts w:hint="eastAsia" w:cs="Times New Roman"/>
          <w:color w:val="auto"/>
          <w:kern w:val="0"/>
          <w:sz w:val="21"/>
          <w:szCs w:val="21"/>
          <w:highlight w:val="none"/>
          <w:u w:val="none"/>
          <w:lang w:val="en-US" w:eastAsia="zh-CN"/>
        </w:rPr>
        <w:t>进一步</w:t>
      </w:r>
      <w:r>
        <w:rPr>
          <w:rFonts w:eastAsia="宋体" w:cs="Times New Roman"/>
          <w:color w:val="auto"/>
          <w:kern w:val="0"/>
          <w:sz w:val="21"/>
          <w:szCs w:val="21"/>
          <w:highlight w:val="none"/>
          <w:u w:val="none"/>
        </w:rPr>
        <w:t>控制低碳城市试点政策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、政府工作报告中</w:t>
      </w:r>
      <w:r>
        <w:rPr>
          <w:rFonts w:hint="eastAsia" w:cs="Times New Roman"/>
          <w:color w:val="auto"/>
          <w:kern w:val="0"/>
          <w:sz w:val="21"/>
          <w:szCs w:val="21"/>
          <w:highlight w:val="none"/>
          <w:u w:val="none"/>
          <w:lang w:eastAsia="zh-CN"/>
        </w:rPr>
        <w:t>“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环保</w:t>
      </w:r>
      <w:r>
        <w:rPr>
          <w:rFonts w:hint="eastAsia" w:cs="Times New Roman"/>
          <w:color w:val="auto"/>
          <w:kern w:val="0"/>
          <w:sz w:val="21"/>
          <w:szCs w:val="21"/>
          <w:highlight w:val="none"/>
          <w:u w:val="none"/>
          <w:lang w:eastAsia="zh-CN"/>
        </w:rPr>
        <w:t>”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词频</w:t>
      </w:r>
      <w:r>
        <w:rPr>
          <w:rFonts w:eastAsia="宋体" w:cs="Times New Roman"/>
          <w:color w:val="auto"/>
          <w:kern w:val="0"/>
          <w:sz w:val="21"/>
          <w:szCs w:val="21"/>
          <w:highlight w:val="none"/>
          <w:u w:val="none"/>
        </w:rPr>
        <w:t>的影响。具体而言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，参考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宋弘等</w:t>
      </w:r>
      <w:r>
        <w:rPr>
          <w:rFonts w:hint="eastAsia"/>
          <w:color w:val="auto"/>
          <w:sz w:val="21"/>
          <w:szCs w:val="21"/>
          <w:highlight w:val="none"/>
          <w:u w:val="none"/>
          <w:lang w:eastAsia="zh-CN"/>
        </w:rPr>
        <w:t>（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2019</w:t>
      </w:r>
      <w:r>
        <w:rPr>
          <w:rFonts w:hint="eastAsia"/>
          <w:color w:val="auto"/>
          <w:sz w:val="21"/>
          <w:szCs w:val="21"/>
          <w:highlight w:val="none"/>
          <w:u w:val="none"/>
          <w:lang w:eastAsia="zh-CN"/>
        </w:rPr>
        <w:t>）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的设置方法，根据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《关于开展低碳省区和低碳城市试点工作的通知》（第一批低碳城市试点于2010年启动，涉及13个省市；第二批低碳城市试点于2013年启动，涉及29个省市），获得</w:t>
      </w:r>
      <w:r>
        <w:rPr>
          <w:rFonts w:eastAsia="宋体" w:cs="Times New Roman"/>
          <w:color w:val="auto"/>
          <w:kern w:val="0"/>
          <w:sz w:val="21"/>
          <w:szCs w:val="21"/>
          <w:highlight w:val="none"/>
          <w:u w:val="none"/>
        </w:rPr>
        <w:t>低碳城市试点政策实施的虚拟变量</w:t>
      </w:r>
      <w:r>
        <w:rPr>
          <w:rFonts w:hint="eastAsia"/>
          <w:i/>
          <w:color w:val="auto"/>
          <w:kern w:val="0"/>
          <w:sz w:val="21"/>
          <w:szCs w:val="21"/>
          <w:highlight w:val="none"/>
          <w:u w:val="none"/>
          <w:lang w:val="en-US" w:eastAsia="zh-CN"/>
        </w:rPr>
        <w:t>L</w:t>
      </w:r>
      <w:r>
        <w:rPr>
          <w:rFonts w:hint="eastAsia"/>
          <w:i/>
          <w:color w:val="auto"/>
          <w:kern w:val="0"/>
          <w:sz w:val="21"/>
          <w:szCs w:val="21"/>
          <w:highlight w:val="none"/>
          <w:u w:val="none"/>
        </w:rPr>
        <w:t>ow</w:t>
      </w:r>
      <w:r>
        <w:rPr>
          <w:i/>
          <w:color w:val="auto"/>
          <w:kern w:val="0"/>
          <w:sz w:val="21"/>
          <w:szCs w:val="21"/>
          <w:highlight w:val="none"/>
          <w:u w:val="none"/>
        </w:rPr>
        <w:t>_car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vertAlign w:val="subscript"/>
          <w:lang w:val="en-US" w:eastAsia="zh-CN"/>
        </w:rPr>
        <w:t>ct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。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参考邓慧慧等</w:t>
      </w:r>
      <w:r>
        <w:rPr>
          <w:rFonts w:hint="eastAsia"/>
          <w:color w:val="auto"/>
          <w:sz w:val="21"/>
          <w:szCs w:val="21"/>
          <w:highlight w:val="none"/>
          <w:u w:val="none"/>
          <w:lang w:eastAsia="zh-CN"/>
        </w:rPr>
        <w:t>（</w:t>
      </w: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2019</w:t>
      </w:r>
      <w:r>
        <w:rPr>
          <w:rFonts w:hint="eastAsia"/>
          <w:color w:val="auto"/>
          <w:sz w:val="21"/>
          <w:szCs w:val="21"/>
          <w:highlight w:val="none"/>
          <w:u w:val="none"/>
          <w:lang w:eastAsia="zh-CN"/>
        </w:rPr>
        <w:t>）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，获取地方政府工作报告中</w:t>
      </w:r>
      <w:r>
        <w:rPr>
          <w:rFonts w:hint="eastAsia"/>
          <w:color w:val="auto"/>
          <w:sz w:val="21"/>
          <w:szCs w:val="21"/>
          <w:highlight w:val="none"/>
          <w:u w:val="none"/>
          <w:lang w:eastAsia="zh-CN"/>
        </w:rPr>
        <w:t>“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环保</w:t>
      </w:r>
      <w:r>
        <w:rPr>
          <w:rFonts w:hint="eastAsia"/>
          <w:color w:val="auto"/>
          <w:sz w:val="21"/>
          <w:szCs w:val="21"/>
          <w:highlight w:val="none"/>
          <w:u w:val="none"/>
          <w:lang w:eastAsia="zh-CN"/>
        </w:rPr>
        <w:t>”</w:t>
      </w:r>
      <w:r>
        <w:rPr>
          <w:rFonts w:hint="eastAsia"/>
          <w:color w:val="auto"/>
          <w:sz w:val="21"/>
          <w:szCs w:val="21"/>
          <w:highlight w:val="none"/>
          <w:u w:val="none"/>
        </w:rPr>
        <w:t>词频占报告全文字数的比重，作为环境治理的代理变量</w:t>
      </w:r>
      <w:r>
        <w:rPr>
          <w:rFonts w:hint="eastAsia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P</w:t>
      </w:r>
      <w:r>
        <w:rPr>
          <w:rFonts w:hint="eastAsia"/>
          <w:i/>
          <w:iCs/>
          <w:color w:val="auto"/>
          <w:sz w:val="21"/>
          <w:szCs w:val="21"/>
          <w:highlight w:val="none"/>
          <w:u w:val="none"/>
        </w:rPr>
        <w:t>rotection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vertAlign w:val="subscript"/>
          <w:lang w:val="en-US" w:eastAsia="zh-CN"/>
        </w:rPr>
        <w:t>ct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。表</w:t>
      </w:r>
      <w:r>
        <w:rPr>
          <w:rFonts w:hint="eastAsia" w:cs="Times New Roman"/>
          <w:color w:val="auto"/>
          <w:kern w:val="0"/>
          <w:sz w:val="21"/>
          <w:szCs w:val="21"/>
          <w:highlight w:val="none"/>
          <w:u w:val="none"/>
          <w:lang w:val="en-US" w:eastAsia="zh-CN"/>
        </w:rPr>
        <w:t>4列（9）和（10）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列示了将上述</w:t>
      </w:r>
      <w:r>
        <w:rPr>
          <w:rFonts w:hint="eastAsia" w:cs="Times New Roman"/>
          <w:color w:val="auto"/>
          <w:kern w:val="0"/>
          <w:sz w:val="21"/>
          <w:szCs w:val="21"/>
          <w:highlight w:val="none"/>
          <w:u w:val="none"/>
          <w:lang w:val="en-US" w:eastAsia="zh-CN"/>
        </w:rPr>
        <w:t>两个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指标加入基准方程后的回归结果，</w:t>
      </w:r>
      <w:r>
        <w:rPr>
          <w:rFonts w:hint="eastAsia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S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lang w:val="en-US" w:eastAsia="zh-CN"/>
        </w:rPr>
        <w:t>ubway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u w:val="none"/>
          <w:vertAlign w:val="subscript"/>
          <w:lang w:val="en-US" w:eastAsia="zh-CN"/>
        </w:rPr>
        <w:t>mt</w:t>
      </w:r>
      <w:r>
        <w:rPr>
          <w:rFonts w:hint="eastAsia" w:eastAsia="宋体" w:cs="Times New Roman"/>
          <w:iCs/>
          <w:color w:val="auto"/>
          <w:kern w:val="0"/>
          <w:sz w:val="21"/>
          <w:szCs w:val="21"/>
          <w:highlight w:val="none"/>
          <w:u w:val="none"/>
        </w:rPr>
        <w:t>仍显著为负，</w:t>
      </w:r>
      <w:r>
        <w:rPr>
          <w:rFonts w:eastAsia="宋体" w:cs="Times New Roman"/>
          <w:color w:val="auto"/>
          <w:kern w:val="0"/>
          <w:sz w:val="21"/>
          <w:szCs w:val="21"/>
          <w:highlight w:val="none"/>
          <w:u w:val="none"/>
        </w:rPr>
        <w:t>表明其他政策冲击不会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对</w:t>
      </w:r>
      <w:r>
        <w:rPr>
          <w:rFonts w:hint="eastAsia" w:cs="Times New Roman"/>
          <w:color w:val="auto"/>
          <w:kern w:val="0"/>
          <w:sz w:val="21"/>
          <w:szCs w:val="21"/>
          <w:highlight w:val="none"/>
          <w:u w:val="none"/>
          <w:lang w:val="en-US" w:eastAsia="zh-CN"/>
        </w:rPr>
        <w:t>基准</w:t>
      </w:r>
      <w:r>
        <w:rPr>
          <w:rFonts w:hint="eastAsia" w:eastAsia="宋体" w:cs="Times New Roman"/>
          <w:color w:val="auto"/>
          <w:kern w:val="0"/>
          <w:sz w:val="21"/>
          <w:szCs w:val="21"/>
          <w:highlight w:val="none"/>
          <w:u w:val="none"/>
        </w:rPr>
        <w:t>结果的稳健性产生干扰</w:t>
      </w:r>
      <w:r>
        <w:rPr>
          <w:rFonts w:ascii="宋体" w:hAnsi="宋体" w:eastAsia="宋体" w:cs="Times New Roman"/>
          <w:iCs/>
          <w:color w:val="auto"/>
          <w:kern w:val="0"/>
          <w:sz w:val="21"/>
          <w:szCs w:val="21"/>
          <w:highlight w:val="none"/>
          <w:u w:val="none"/>
        </w:rPr>
        <w:t>。</w:t>
      </w:r>
    </w:p>
    <w:p w14:paraId="72B2D99C">
      <w:pPr>
        <w:widowControl w:val="0"/>
        <w:ind w:firstLine="420" w:firstLineChars="200"/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Cs w:val="24"/>
          <w:highlight w:val="none"/>
          <w:lang w:val="en-US" w:eastAsia="zh-CN" w:bidi="ar-SA"/>
        </w:rPr>
        <w:t>表4 稳健性检验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50"/>
        <w:gridCol w:w="1352"/>
        <w:gridCol w:w="1369"/>
        <w:gridCol w:w="1405"/>
        <w:gridCol w:w="1350"/>
      </w:tblGrid>
      <w:tr w14:paraId="2E3BBA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l2br w:val="nil"/>
              <w:tr2bl w:val="nil"/>
            </w:tcBorders>
            <w:noWrap w:val="0"/>
            <w:vAlign w:val="center"/>
          </w:tcPr>
          <w:p w14:paraId="0F704859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noWrap w:val="0"/>
            <w:vAlign w:val="center"/>
          </w:tcPr>
          <w:p w14:paraId="23983012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(1)</w:t>
            </w:r>
          </w:p>
        </w:tc>
        <w:tc>
          <w:tcPr>
            <w:tcW w:w="793" w:type="pct"/>
            <w:tcBorders>
              <w:tl2br w:val="nil"/>
              <w:tr2bl w:val="nil"/>
            </w:tcBorders>
            <w:noWrap w:val="0"/>
            <w:vAlign w:val="center"/>
          </w:tcPr>
          <w:p w14:paraId="2E81B24F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(2)</w:t>
            </w:r>
          </w:p>
        </w:tc>
        <w:tc>
          <w:tcPr>
            <w:tcW w:w="803" w:type="pct"/>
            <w:tcBorders>
              <w:tl2br w:val="nil"/>
              <w:tr2bl w:val="nil"/>
            </w:tcBorders>
            <w:noWrap w:val="0"/>
            <w:vAlign w:val="center"/>
          </w:tcPr>
          <w:p w14:paraId="25CAA19A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(3)</w:t>
            </w:r>
          </w:p>
        </w:tc>
        <w:tc>
          <w:tcPr>
            <w:tcW w:w="824" w:type="pct"/>
            <w:tcBorders>
              <w:tl2br w:val="nil"/>
              <w:tr2bl w:val="nil"/>
            </w:tcBorders>
            <w:noWrap w:val="0"/>
            <w:vAlign w:val="center"/>
          </w:tcPr>
          <w:p w14:paraId="07E4535A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(4)</w:t>
            </w:r>
          </w:p>
        </w:tc>
        <w:tc>
          <w:tcPr>
            <w:tcW w:w="792" w:type="pct"/>
            <w:tcBorders>
              <w:tl2br w:val="nil"/>
              <w:tr2bl w:val="nil"/>
            </w:tcBorders>
            <w:noWrap w:val="0"/>
            <w:vAlign w:val="center"/>
          </w:tcPr>
          <w:p w14:paraId="1F229EA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(5)</w:t>
            </w:r>
          </w:p>
        </w:tc>
      </w:tr>
      <w:tr w14:paraId="73FADF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l2br w:val="nil"/>
              <w:tr2bl w:val="nil"/>
            </w:tcBorders>
            <w:noWrap w:val="0"/>
            <w:vAlign w:val="center"/>
          </w:tcPr>
          <w:p w14:paraId="4D7323E9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585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B82E4B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改变被解释变量</w:t>
            </w:r>
          </w:p>
        </w:tc>
        <w:tc>
          <w:tcPr>
            <w:tcW w:w="241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F23D027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改变核心解释变量</w:t>
            </w:r>
          </w:p>
        </w:tc>
      </w:tr>
      <w:tr w14:paraId="5748F9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l2br w:val="nil"/>
              <w:tr2bl w:val="nil"/>
            </w:tcBorders>
            <w:noWrap w:val="0"/>
            <w:vAlign w:val="center"/>
          </w:tcPr>
          <w:p w14:paraId="76D1FF44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变量</w:t>
            </w:r>
          </w:p>
        </w:tc>
        <w:tc>
          <w:tcPr>
            <w:tcW w:w="792" w:type="pct"/>
            <w:tcBorders>
              <w:tl2br w:val="nil"/>
              <w:tr2bl w:val="nil"/>
            </w:tcBorders>
            <w:noWrap w:val="0"/>
            <w:vAlign w:val="center"/>
          </w:tcPr>
          <w:p w14:paraId="57AF06F4">
            <w:pPr>
              <w:spacing w:beforeLines="0" w:afterLines="0"/>
              <w:jc w:val="center"/>
              <w:rPr>
                <w:rFonts w:hint="default" w:eastAsia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CO2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_all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793" w:type="pct"/>
            <w:tcBorders>
              <w:tl2br w:val="nil"/>
              <w:tr2bl w:val="nil"/>
            </w:tcBorders>
            <w:noWrap w:val="0"/>
            <w:vAlign w:val="center"/>
          </w:tcPr>
          <w:p w14:paraId="604C57D8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CO2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_area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241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707EF7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CO2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</w:tr>
      <w:tr w14:paraId="21C701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bottom w:val="nil"/>
            </w:tcBorders>
            <w:shd w:val="clear" w:color="auto" w:fill="auto"/>
            <w:noWrap w:val="0"/>
            <w:vAlign w:val="center"/>
          </w:tcPr>
          <w:p w14:paraId="577BA6F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ubway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792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75C6A52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-18.557**</w:t>
            </w:r>
          </w:p>
        </w:tc>
        <w:tc>
          <w:tcPr>
            <w:tcW w:w="793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3E0FEE1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-0.204*</w:t>
            </w:r>
          </w:p>
        </w:tc>
        <w:tc>
          <w:tcPr>
            <w:tcW w:w="803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5B31349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53697FD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bottom w:val="nil"/>
            </w:tcBorders>
            <w:shd w:val="clear" w:color="auto" w:fill="auto"/>
            <w:noWrap w:val="0"/>
            <w:vAlign w:val="top"/>
          </w:tcPr>
          <w:p w14:paraId="4845F7C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</w:tr>
      <w:tr w14:paraId="074823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373453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E9B21D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(8.037)</w:t>
            </w:r>
          </w:p>
        </w:tc>
        <w:tc>
          <w:tcPr>
            <w:tcW w:w="79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D637AE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(0.114)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FED982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2E11D0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531A0E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</w:tr>
      <w:tr w14:paraId="382716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F877F7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Mean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_subway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400EF7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89180D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6BCBF8E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-0.424***</w:t>
            </w: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B08414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D97814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</w:tr>
      <w:tr w14:paraId="392ACA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2B20C15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BCA030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CF7618D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4DFB9086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(0.113)</w:t>
            </w: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9AF815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5C78BF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</w:tr>
      <w:tr w14:paraId="1CEAF4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2DF924D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DC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_subway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F8D78D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18BE01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57BF825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BF197A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-0.019***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0FA43C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</w:tr>
      <w:tr w14:paraId="2FA46C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756B012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827DB8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6A4581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4E3BEB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732671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(0.005)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53D4C5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</w:tr>
      <w:tr w14:paraId="1BDBD8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7B204D1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BC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_subway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BD0A2B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102409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4B0970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163ACF5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257942B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-0.409*</w:t>
            </w:r>
          </w:p>
        </w:tc>
      </w:tr>
      <w:tr w14:paraId="6D6CF2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CACB5C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B108E1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A8ACA1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0CC7175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38D6B0B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 w14:paraId="7BAA282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(0.244)</w:t>
            </w:r>
          </w:p>
        </w:tc>
      </w:tr>
      <w:tr w14:paraId="5C18F5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DC5840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样本量</w:t>
            </w:r>
          </w:p>
        </w:tc>
        <w:tc>
          <w:tcPr>
            <w:tcW w:w="792" w:type="pct"/>
            <w:tcBorders>
              <w:top w:val="nil"/>
              <w:bottom w:val="nil"/>
            </w:tcBorders>
            <w:noWrap w:val="0"/>
            <w:vAlign w:val="center"/>
          </w:tcPr>
          <w:p w14:paraId="54E13363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34793</w:t>
            </w:r>
          </w:p>
        </w:tc>
        <w:tc>
          <w:tcPr>
            <w:tcW w:w="793" w:type="pct"/>
            <w:tcBorders>
              <w:top w:val="nil"/>
              <w:bottom w:val="nil"/>
            </w:tcBorders>
            <w:noWrap w:val="0"/>
            <w:vAlign w:val="center"/>
          </w:tcPr>
          <w:p w14:paraId="3472865F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34793</w:t>
            </w:r>
          </w:p>
        </w:tc>
        <w:tc>
          <w:tcPr>
            <w:tcW w:w="803" w:type="pct"/>
            <w:tcBorders>
              <w:top w:val="nil"/>
              <w:bottom w:val="nil"/>
            </w:tcBorders>
            <w:noWrap w:val="0"/>
            <w:vAlign w:val="center"/>
          </w:tcPr>
          <w:p w14:paraId="2EF29798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34793</w:t>
            </w:r>
          </w:p>
        </w:tc>
        <w:tc>
          <w:tcPr>
            <w:tcW w:w="824" w:type="pct"/>
            <w:tcBorders>
              <w:top w:val="nil"/>
              <w:bottom w:val="nil"/>
            </w:tcBorders>
            <w:noWrap w:val="0"/>
            <w:vAlign w:val="center"/>
          </w:tcPr>
          <w:p w14:paraId="18CB25AF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34793</w:t>
            </w:r>
          </w:p>
        </w:tc>
        <w:tc>
          <w:tcPr>
            <w:tcW w:w="792" w:type="pct"/>
            <w:tcBorders>
              <w:top w:val="nil"/>
              <w:bottom w:val="nil"/>
            </w:tcBorders>
            <w:noWrap w:val="0"/>
            <w:vAlign w:val="center"/>
          </w:tcPr>
          <w:p w14:paraId="09BF7425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34793</w:t>
            </w:r>
          </w:p>
        </w:tc>
      </w:tr>
      <w:tr w14:paraId="6C6BCA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</w:tcBorders>
            <w:shd w:val="clear" w:color="auto" w:fill="auto"/>
            <w:noWrap w:val="0"/>
            <w:vAlign w:val="center"/>
          </w:tcPr>
          <w:p w14:paraId="01E3009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792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40932B4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0.962</w:t>
            </w:r>
          </w:p>
        </w:tc>
        <w:tc>
          <w:tcPr>
            <w:tcW w:w="793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14DC3E6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0.913</w:t>
            </w:r>
          </w:p>
        </w:tc>
        <w:tc>
          <w:tcPr>
            <w:tcW w:w="803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503DAEB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0.900</w:t>
            </w:r>
          </w:p>
        </w:tc>
        <w:tc>
          <w:tcPr>
            <w:tcW w:w="824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02E4ADA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0.900</w:t>
            </w:r>
          </w:p>
        </w:tc>
        <w:tc>
          <w:tcPr>
            <w:tcW w:w="792" w:type="pct"/>
            <w:tcBorders>
              <w:top w:val="nil"/>
            </w:tcBorders>
            <w:shd w:val="clear" w:color="auto" w:fill="auto"/>
            <w:noWrap w:val="0"/>
            <w:vAlign w:val="top"/>
          </w:tcPr>
          <w:p w14:paraId="1F6D6FC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0.900</w:t>
            </w:r>
          </w:p>
        </w:tc>
      </w:tr>
      <w:tr w14:paraId="6942E4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426ED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6399D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)</w:t>
            </w:r>
          </w:p>
        </w:tc>
        <w:tc>
          <w:tcPr>
            <w:tcW w:w="79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F4188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)</w:t>
            </w:r>
          </w:p>
        </w:tc>
        <w:tc>
          <w:tcPr>
            <w:tcW w:w="80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4F1C7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)</w:t>
            </w:r>
          </w:p>
        </w:tc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9B6F3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)</w:t>
            </w: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09E11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</w:t>
            </w: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10</w:t>
            </w: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)</w:t>
            </w:r>
          </w:p>
        </w:tc>
      </w:tr>
      <w:tr w14:paraId="509C49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C518F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2388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44F31E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改变样本选择</w:t>
            </w:r>
          </w:p>
        </w:tc>
        <w:tc>
          <w:tcPr>
            <w:tcW w:w="161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1AFF2C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排除其他相关政策干扰</w:t>
            </w:r>
          </w:p>
        </w:tc>
      </w:tr>
      <w:tr w14:paraId="2F9C9A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shd w:val="clear" w:color="auto" w:fill="auto"/>
            <w:vAlign w:val="center"/>
          </w:tcPr>
          <w:p w14:paraId="5736633B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变量</w:t>
            </w:r>
          </w:p>
        </w:tc>
        <w:tc>
          <w:tcPr>
            <w:tcW w:w="4004" w:type="pct"/>
            <w:gridSpan w:val="5"/>
            <w:shd w:val="clear" w:color="auto" w:fill="auto"/>
            <w:vAlign w:val="center"/>
          </w:tcPr>
          <w:p w14:paraId="000F8BE9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CO2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</w:tr>
      <w:tr w14:paraId="03CCE8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bottom w:val="nil"/>
            </w:tcBorders>
            <w:shd w:val="clear" w:color="auto" w:fill="auto"/>
            <w:vAlign w:val="center"/>
          </w:tcPr>
          <w:p w14:paraId="76C1389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ubway</w:t>
            </w:r>
            <w:r>
              <w:rPr>
                <w:rFonts w:hint="eastAsia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mt</w:t>
            </w:r>
          </w:p>
        </w:tc>
        <w:tc>
          <w:tcPr>
            <w:tcW w:w="792" w:type="pct"/>
            <w:tcBorders>
              <w:bottom w:val="nil"/>
            </w:tcBorders>
            <w:shd w:val="clear" w:color="auto" w:fill="auto"/>
            <w:vAlign w:val="top"/>
          </w:tcPr>
          <w:p w14:paraId="174B676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-0.923***</w:t>
            </w:r>
          </w:p>
        </w:tc>
        <w:tc>
          <w:tcPr>
            <w:tcW w:w="792" w:type="pct"/>
            <w:tcBorders>
              <w:bottom w:val="nil"/>
            </w:tcBorders>
            <w:shd w:val="clear" w:color="auto" w:fill="auto"/>
            <w:vAlign w:val="top"/>
          </w:tcPr>
          <w:p w14:paraId="74D3509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-0.596**</w:t>
            </w:r>
          </w:p>
        </w:tc>
        <w:tc>
          <w:tcPr>
            <w:tcW w:w="803" w:type="pct"/>
            <w:tcBorders>
              <w:bottom w:val="nil"/>
            </w:tcBorders>
            <w:shd w:val="clear" w:color="auto" w:fill="auto"/>
            <w:vAlign w:val="top"/>
          </w:tcPr>
          <w:p w14:paraId="53C4021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-0.969***</w:t>
            </w:r>
          </w:p>
        </w:tc>
        <w:tc>
          <w:tcPr>
            <w:tcW w:w="824" w:type="pct"/>
            <w:tcBorders>
              <w:bottom w:val="nil"/>
            </w:tcBorders>
            <w:shd w:val="clear" w:color="auto" w:fill="auto"/>
            <w:vAlign w:val="top"/>
          </w:tcPr>
          <w:p w14:paraId="3DABFFA9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-0.888***</w:t>
            </w:r>
          </w:p>
        </w:tc>
        <w:tc>
          <w:tcPr>
            <w:tcW w:w="792" w:type="pct"/>
            <w:tcBorders>
              <w:bottom w:val="nil"/>
            </w:tcBorders>
            <w:shd w:val="clear" w:color="auto" w:fill="auto"/>
            <w:vAlign w:val="top"/>
          </w:tcPr>
          <w:p w14:paraId="7790031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-0.895***</w:t>
            </w:r>
          </w:p>
        </w:tc>
      </w:tr>
      <w:tr w14:paraId="44C275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73EF9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5C07141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(0.287)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3B4478C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(0.271)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3E6B298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(0.303)</w:t>
            </w: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079A5BF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(0.285)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259CD1C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(0.285)</w:t>
            </w:r>
          </w:p>
        </w:tc>
      </w:tr>
      <w:tr w14:paraId="758C57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2B747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i/>
                <w:color w:val="auto"/>
                <w:kern w:val="0"/>
                <w:sz w:val="15"/>
                <w:szCs w:val="15"/>
                <w:highlight w:val="none"/>
                <w:u w:val="none"/>
                <w:lang w:val="en-US" w:eastAsia="zh-CN"/>
              </w:rPr>
              <w:t>L</w:t>
            </w:r>
            <w:r>
              <w:rPr>
                <w:rFonts w:hint="eastAsia"/>
                <w:i/>
                <w:color w:val="auto"/>
                <w:kern w:val="0"/>
                <w:sz w:val="15"/>
                <w:szCs w:val="15"/>
                <w:highlight w:val="none"/>
                <w:u w:val="none"/>
              </w:rPr>
              <w:t>ow</w:t>
            </w:r>
            <w:r>
              <w:rPr>
                <w:i/>
                <w:color w:val="auto"/>
                <w:kern w:val="0"/>
                <w:sz w:val="15"/>
                <w:szCs w:val="15"/>
                <w:highlight w:val="none"/>
                <w:u w:val="none"/>
              </w:rPr>
              <w:t>_car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ct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0AC380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D776F5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28A5F5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704E15F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-1.235**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37DB54F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</w:tr>
      <w:tr w14:paraId="2ED9F4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AB2792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E0E457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6629AC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DE43CF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7938DAA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(0.564)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50B8820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</w:tr>
      <w:tr w14:paraId="67C660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4B4FB7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P</w:t>
            </w:r>
            <w:r>
              <w:rPr>
                <w:rFonts w:hint="eastAsia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rotection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bscript"/>
                <w:lang w:val="en-US" w:eastAsia="zh-CN"/>
              </w:rPr>
              <w:t>ct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EAFE6E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168D10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5389F6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632F74F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1D80598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36.587</w:t>
            </w:r>
          </w:p>
        </w:tc>
      </w:tr>
      <w:tr w14:paraId="5B5C2A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4E73EE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C8D5E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12F98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719DEF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52B4D55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180B22E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(48.436)</w:t>
            </w:r>
          </w:p>
        </w:tc>
      </w:tr>
      <w:tr w14:paraId="0A5834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A6413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样本量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6C2F1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32765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27622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6071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C4AED8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33883</w:t>
            </w: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E52223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34793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FC812E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eastAsia="zh-CN"/>
              </w:rPr>
              <w:t>34793</w:t>
            </w:r>
          </w:p>
        </w:tc>
      </w:tr>
      <w:tr w14:paraId="5995C6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EB62E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15"/>
                <w:szCs w:val="15"/>
                <w:highlight w:val="none"/>
                <w:u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35D347D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0.885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19EC6B5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0.976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1054D85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0.899</w:t>
            </w: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021A36B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0.900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753CE54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</w:rPr>
            </w:pPr>
            <w:r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  <w:t>0.900</w:t>
            </w:r>
          </w:p>
        </w:tc>
      </w:tr>
      <w:tr w14:paraId="37CB5A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305FC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  <w:t>控制变量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C8AF5">
            <w:pPr>
              <w:spacing w:beforeLines="0" w:afterLines="0"/>
              <w:jc w:val="center"/>
              <w:rPr>
                <w:rFonts w:hint="eastAsia" w:eastAsia="宋体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D9DF87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E0FD5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279A4E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7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93B7F6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124CFE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99DF1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区县固定效应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7274FE35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43A22DCE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 w14:paraId="0C78B6A0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24" w:type="pct"/>
            <w:tcBorders>
              <w:top w:val="nil"/>
              <w:bottom w:val="nil"/>
            </w:tcBorders>
            <w:vAlign w:val="center"/>
          </w:tcPr>
          <w:p w14:paraId="02F11538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7B8E3432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09FFC9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A44F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年份固定效应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56B36444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5EEA7683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 w14:paraId="1478A6D9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24" w:type="pct"/>
            <w:tcBorders>
              <w:top w:val="nil"/>
              <w:bottom w:val="nil"/>
            </w:tcBorders>
            <w:vAlign w:val="center"/>
          </w:tcPr>
          <w:p w14:paraId="699941D6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03DA53E0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  <w:tr w14:paraId="7610CD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pct"/>
            <w:tcBorders>
              <w:top w:val="nil"/>
            </w:tcBorders>
            <w:shd w:val="clear" w:color="auto" w:fill="auto"/>
            <w:vAlign w:val="center"/>
          </w:tcPr>
          <w:p w14:paraId="3C98DD13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省份年份固定效应</w:t>
            </w:r>
          </w:p>
        </w:tc>
        <w:tc>
          <w:tcPr>
            <w:tcW w:w="792" w:type="pct"/>
            <w:tcBorders>
              <w:top w:val="nil"/>
            </w:tcBorders>
            <w:vAlign w:val="center"/>
          </w:tcPr>
          <w:p w14:paraId="3FB94AA9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792" w:type="pct"/>
            <w:tcBorders>
              <w:top w:val="nil"/>
            </w:tcBorders>
            <w:vAlign w:val="center"/>
          </w:tcPr>
          <w:p w14:paraId="4E0A0AE8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03" w:type="pct"/>
            <w:tcBorders>
              <w:top w:val="nil"/>
            </w:tcBorders>
            <w:vAlign w:val="center"/>
          </w:tcPr>
          <w:p w14:paraId="40941509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824" w:type="pct"/>
            <w:tcBorders>
              <w:top w:val="nil"/>
            </w:tcBorders>
            <w:vAlign w:val="center"/>
          </w:tcPr>
          <w:p w14:paraId="3923E428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792" w:type="pct"/>
            <w:tcBorders>
              <w:top w:val="nil"/>
            </w:tcBorders>
            <w:vAlign w:val="center"/>
          </w:tcPr>
          <w:p w14:paraId="16E7B03E">
            <w:pPr>
              <w:spacing w:beforeLines="0" w:afterLines="0"/>
              <w:jc w:val="center"/>
              <w:rPr>
                <w:rFonts w:hint="default"/>
                <w:color w:val="auto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>是</w:t>
            </w:r>
          </w:p>
        </w:tc>
      </w:tr>
    </w:tbl>
    <w:p w14:paraId="3B301BD7">
      <w:pPr>
        <w:pStyle w:val="2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E52F6"/>
    <w:rsid w:val="00E40880"/>
    <w:rsid w:val="05B9677F"/>
    <w:rsid w:val="05E8298E"/>
    <w:rsid w:val="06C62F02"/>
    <w:rsid w:val="10411D51"/>
    <w:rsid w:val="145E0C1D"/>
    <w:rsid w:val="26D60AE7"/>
    <w:rsid w:val="2B9974AB"/>
    <w:rsid w:val="2F882B9B"/>
    <w:rsid w:val="337F3335"/>
    <w:rsid w:val="38AE3672"/>
    <w:rsid w:val="3A43073C"/>
    <w:rsid w:val="3B0C28D2"/>
    <w:rsid w:val="42073DF3"/>
    <w:rsid w:val="434370AD"/>
    <w:rsid w:val="49E07403"/>
    <w:rsid w:val="4E151645"/>
    <w:rsid w:val="519360C0"/>
    <w:rsid w:val="537D2F46"/>
    <w:rsid w:val="55AE52F6"/>
    <w:rsid w:val="59417793"/>
    <w:rsid w:val="5C78171D"/>
    <w:rsid w:val="5F1C0CF6"/>
    <w:rsid w:val="60A86E0A"/>
    <w:rsid w:val="632E0D88"/>
    <w:rsid w:val="64805613"/>
    <w:rsid w:val="666D6853"/>
    <w:rsid w:val="68580655"/>
    <w:rsid w:val="69280027"/>
    <w:rsid w:val="6F4D07E7"/>
    <w:rsid w:val="7060279C"/>
    <w:rsid w:val="70942F09"/>
    <w:rsid w:val="727D3192"/>
    <w:rsid w:val="72DA6ACB"/>
    <w:rsid w:val="77521091"/>
    <w:rsid w:val="7AE745D0"/>
    <w:rsid w:val="7DE3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3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rFonts w:ascii="Times New Roman" w:hAnsi="Times New Roman" w:eastAsia="楷体"/>
      <w:b/>
      <w:kern w:val="44"/>
      <w:sz w:val="28"/>
      <w:lang w:val="en-US" w:eastAsia="zh-CN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ind w:firstLine="482" w:firstLineChars="200"/>
      <w:outlineLvl w:val="1"/>
    </w:pPr>
    <w:rPr>
      <w:rFonts w:ascii="Arial" w:hAnsi="Arial" w:eastAsia="宋体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ind w:firstLine="482" w:firstLineChars="200"/>
      <w:outlineLvl w:val="2"/>
    </w:pPr>
    <w:rPr>
      <w:rFonts w:ascii="Times New Roman" w:hAnsi="Times New Roman" w:eastAsia="宋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150" w:lineRule="atLeast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2004</Words>
  <Characters>3903</Characters>
  <Lines>0</Lines>
  <Paragraphs>0</Paragraphs>
  <TotalTime>6</TotalTime>
  <ScaleCrop>false</ScaleCrop>
  <LinksUpToDate>false</LinksUpToDate>
  <CharactersWithSpaces>3907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2026-06-06T18:06:00Z</dcterms:created>
  <dc:creator>Yuan</dc:creator>
  <cp:lastModifiedBy>Yuan</cp:lastModifiedBy>
  <dcterms:modified xsi:type="dcterms:W3CDTF">2026-06-08T08:37:28Z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B033B5804AA843A78F6A722C1E55796B_11</vt:lpwstr>
  </property>
  <property fmtid="{D5CDD505-2E9C-101B-9397-08002B2CF9AE}" pid="4" name="KSOTemplateDocerSaveRecord">
    <vt:lpwstr>eyJoZGlkIjoiODVjNWVkNmJhZTBkOTBiOWRhY2FlMzNjMThmNDQxN2IiLCJ1c2VySWQiOiIxMjI5NzcxOTEyIn0=</vt:lpwstr>
  </property>
</Properties>
</file>