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E3FCE">
      <w:pPr>
        <w:jc w:val="center"/>
        <w:outlineLvl w:val="0"/>
        <w:rPr>
          <w:rFonts w:ascii="黑体" w:hAnsi="黑体" w:eastAsia="黑体" w:cs="黑体"/>
          <w:sz w:val="28"/>
          <w:szCs w:val="28"/>
        </w:rPr>
      </w:pPr>
      <w:r>
        <w:rPr>
          <w:rFonts w:hint="eastAsia" w:ascii="黑体" w:hAnsi="黑体" w:eastAsia="黑体" w:cs="黑体"/>
          <w:sz w:val="28"/>
          <w:szCs w:val="28"/>
        </w:rPr>
        <w:t>附录</w:t>
      </w:r>
    </w:p>
    <w:p w14:paraId="11626488">
      <w:pPr>
        <w:widowControl/>
        <w:ind w:firstLine="416" w:firstLineChars="200"/>
        <w:jc w:val="left"/>
        <w:rPr>
          <w:rFonts w:ascii="Times New Roman" w:hAnsi="Times New Roman"/>
          <w:szCs w:val="21"/>
        </w:rPr>
      </w:pPr>
      <w:r>
        <w:rPr>
          <w:rFonts w:hint="eastAsia" w:ascii="Times New Roman" w:hAnsi="Times New Roman"/>
          <w:szCs w:val="21"/>
        </w:rPr>
        <w:t>一、土储债</w:t>
      </w:r>
      <w:r>
        <w:rPr>
          <w:rFonts w:hint="eastAsia" w:ascii="Times New Roman" w:hAnsi="Times New Roman" w:eastAsia="宋体" w:cs="Times New Roman"/>
        </w:rPr>
        <w:t>券</w:t>
      </w:r>
      <w:r>
        <w:rPr>
          <w:rFonts w:hint="eastAsia" w:ascii="Times New Roman" w:hAnsi="Times New Roman"/>
          <w:szCs w:val="21"/>
        </w:rPr>
        <w:t>项目数据来源与处理</w:t>
      </w:r>
    </w:p>
    <w:p w14:paraId="06B76CB5">
      <w:pPr>
        <w:ind w:firstLine="416" w:firstLineChars="200"/>
        <w:rPr>
          <w:rFonts w:ascii="Times New Roman" w:hAnsi="Times New Roman"/>
          <w:szCs w:val="21"/>
        </w:rPr>
      </w:pPr>
      <w:r>
        <w:rPr>
          <w:rFonts w:hint="eastAsia" w:ascii="Times New Roman" w:hAnsi="Times New Roman"/>
          <w:szCs w:val="21"/>
        </w:rPr>
        <w:t>本文手工整理了2017</w:t>
      </w:r>
      <w:r>
        <w:rPr>
          <w:rFonts w:hint="eastAsia" w:ascii="Times New Roman" w:hAnsi="Times New Roman"/>
          <w:szCs w:val="21"/>
          <w:lang w:val="en-US" w:eastAsia="zh-CN"/>
        </w:rPr>
        <w:t>-</w:t>
      </w:r>
      <w:r>
        <w:rPr>
          <w:rFonts w:hint="eastAsia" w:ascii="Times New Roman" w:hAnsi="Times New Roman"/>
          <w:szCs w:val="21"/>
        </w:rPr>
        <w:t>2019年地方政府发行的土储债</w:t>
      </w:r>
      <w:r>
        <w:rPr>
          <w:rFonts w:hint="eastAsia" w:ascii="Times New Roman" w:hAnsi="Times New Roman" w:eastAsia="宋体" w:cs="Times New Roman"/>
        </w:rPr>
        <w:t>券</w:t>
      </w:r>
      <w:r>
        <w:rPr>
          <w:rFonts w:hint="eastAsia" w:ascii="Times New Roman" w:hAnsi="Times New Roman"/>
          <w:szCs w:val="21"/>
        </w:rPr>
        <w:t>项目数据。首先，搜集地方政府发行的所有土储债</w:t>
      </w:r>
      <w:r>
        <w:rPr>
          <w:rFonts w:hint="eastAsia" w:ascii="Times New Roman" w:hAnsi="Times New Roman" w:eastAsia="宋体" w:cs="Times New Roman"/>
        </w:rPr>
        <w:t>券</w:t>
      </w:r>
      <w:r>
        <w:rPr>
          <w:rFonts w:hint="eastAsia" w:ascii="Times New Roman" w:hAnsi="Times New Roman"/>
          <w:szCs w:val="21"/>
        </w:rPr>
        <w:t>。从专项债券信息网（https://www.zhuanxiangzhaiquan.com/home）获取了2017</w:t>
      </w:r>
      <w:r>
        <w:rPr>
          <w:rFonts w:hint="eastAsia" w:ascii="Times New Roman" w:hAnsi="Times New Roman"/>
          <w:szCs w:val="21"/>
          <w:lang w:val="en-US" w:eastAsia="zh-CN"/>
        </w:rPr>
        <w:t>-</w:t>
      </w:r>
      <w:r>
        <w:rPr>
          <w:rFonts w:hint="eastAsia" w:ascii="Times New Roman" w:hAnsi="Times New Roman"/>
          <w:szCs w:val="21"/>
        </w:rPr>
        <w:t>2019年地方政府发行的所有债券信息，包括债券名称、项目类型（如土储、棚改等）、发行总额、期限、利率、发行时间、债券性质（新增、置换、再融资）等，根据债券名称辨别出其中的土储债</w:t>
      </w:r>
      <w:r>
        <w:rPr>
          <w:rFonts w:hint="eastAsia" w:ascii="Times New Roman" w:hAnsi="Times New Roman" w:eastAsia="宋体" w:cs="Times New Roman"/>
        </w:rPr>
        <w:t>券</w:t>
      </w:r>
      <w:r>
        <w:rPr>
          <w:rFonts w:hint="eastAsia" w:ascii="Times New Roman" w:hAnsi="Times New Roman"/>
          <w:szCs w:val="21"/>
        </w:rPr>
        <w:t>，</w:t>
      </w:r>
      <w:r>
        <w:rPr>
          <w:rStyle w:val="8"/>
          <w:rFonts w:hint="eastAsia" w:ascii="Times New Roman" w:hAnsi="Times New Roman"/>
          <w:szCs w:val="21"/>
        </w:rPr>
        <w:footnoteReference w:id="0"/>
      </w:r>
      <w:r>
        <w:rPr>
          <w:rFonts w:hint="eastAsia" w:ascii="Times New Roman" w:hAnsi="Times New Roman"/>
          <w:szCs w:val="21"/>
        </w:rPr>
        <w:t>共计507只。其次，整理土储债</w:t>
      </w:r>
      <w:r>
        <w:rPr>
          <w:rFonts w:hint="eastAsia" w:ascii="Times New Roman" w:hAnsi="Times New Roman" w:eastAsia="宋体" w:cs="Times New Roman"/>
        </w:rPr>
        <w:t>券</w:t>
      </w:r>
      <w:r>
        <w:rPr>
          <w:rFonts w:hint="eastAsia" w:ascii="Times New Roman" w:hAnsi="Times New Roman"/>
          <w:szCs w:val="21"/>
        </w:rPr>
        <w:t>对应的项目信息。根据土储债券名称从中国债券信息网（https://www.chinabond.com.cn/d2s/index.html）获取每一只土储债</w:t>
      </w:r>
      <w:r>
        <w:rPr>
          <w:rFonts w:hint="eastAsia" w:ascii="Times New Roman" w:hAnsi="Times New Roman" w:eastAsia="宋体" w:cs="Times New Roman"/>
        </w:rPr>
        <w:t>券</w:t>
      </w:r>
      <w:r>
        <w:rPr>
          <w:rFonts w:hint="eastAsia" w:ascii="Times New Roman" w:hAnsi="Times New Roman"/>
          <w:szCs w:val="21"/>
        </w:rPr>
        <w:t>发行时披露的文件，包括关于发行土储债</w:t>
      </w:r>
      <w:r>
        <w:rPr>
          <w:rFonts w:hint="eastAsia" w:ascii="Times New Roman" w:hAnsi="Times New Roman" w:eastAsia="宋体" w:cs="Times New Roman"/>
        </w:rPr>
        <w:t>券</w:t>
      </w:r>
      <w:r>
        <w:rPr>
          <w:rFonts w:hint="eastAsia" w:ascii="Times New Roman" w:hAnsi="Times New Roman"/>
          <w:szCs w:val="21"/>
        </w:rPr>
        <w:t>有关事项的通知、土储债</w:t>
      </w:r>
      <w:r>
        <w:rPr>
          <w:rFonts w:hint="eastAsia" w:ascii="Times New Roman" w:hAnsi="Times New Roman" w:eastAsia="宋体" w:cs="Times New Roman"/>
        </w:rPr>
        <w:t>券</w:t>
      </w:r>
      <w:r>
        <w:rPr>
          <w:rFonts w:hint="eastAsia" w:ascii="Times New Roman" w:hAnsi="Times New Roman"/>
          <w:szCs w:val="21"/>
        </w:rPr>
        <w:t>信息披露文件、土储债</w:t>
      </w:r>
      <w:r>
        <w:rPr>
          <w:rFonts w:hint="eastAsia" w:ascii="Times New Roman" w:hAnsi="Times New Roman" w:eastAsia="宋体" w:cs="Times New Roman"/>
        </w:rPr>
        <w:t>券</w:t>
      </w:r>
      <w:r>
        <w:rPr>
          <w:rFonts w:hint="eastAsia" w:ascii="Times New Roman" w:hAnsi="Times New Roman"/>
          <w:szCs w:val="21"/>
        </w:rPr>
        <w:t>信用评级报告、土储债</w:t>
      </w:r>
      <w:r>
        <w:rPr>
          <w:rFonts w:hint="eastAsia" w:ascii="Times New Roman" w:hAnsi="Times New Roman" w:eastAsia="宋体" w:cs="Times New Roman"/>
        </w:rPr>
        <w:t>券</w:t>
      </w:r>
      <w:r>
        <w:rPr>
          <w:rFonts w:hint="eastAsia" w:ascii="Times New Roman" w:hAnsi="Times New Roman"/>
          <w:szCs w:val="21"/>
        </w:rPr>
        <w:t>项目情况表、土储债</w:t>
      </w:r>
      <w:r>
        <w:rPr>
          <w:rFonts w:hint="eastAsia" w:ascii="Times New Roman" w:hAnsi="Times New Roman" w:eastAsia="宋体" w:cs="Times New Roman"/>
        </w:rPr>
        <w:t>券</w:t>
      </w:r>
      <w:r>
        <w:rPr>
          <w:rFonts w:hint="eastAsia" w:ascii="Times New Roman" w:hAnsi="Times New Roman"/>
          <w:szCs w:val="21"/>
        </w:rPr>
        <w:t>项目收益与融资自求平衡方案、土储债</w:t>
      </w:r>
      <w:r>
        <w:rPr>
          <w:rFonts w:hint="eastAsia" w:ascii="Times New Roman" w:hAnsi="Times New Roman" w:eastAsia="宋体" w:cs="Times New Roman"/>
        </w:rPr>
        <w:t>券</w:t>
      </w:r>
      <w:r>
        <w:rPr>
          <w:rFonts w:hint="eastAsia" w:ascii="Times New Roman" w:hAnsi="Times New Roman"/>
          <w:szCs w:val="21"/>
        </w:rPr>
        <w:t>项目财务评价报告、土储债</w:t>
      </w:r>
      <w:r>
        <w:rPr>
          <w:rFonts w:hint="eastAsia" w:ascii="Times New Roman" w:hAnsi="Times New Roman" w:eastAsia="宋体" w:cs="Times New Roman"/>
        </w:rPr>
        <w:t>券</w:t>
      </w:r>
      <w:r>
        <w:rPr>
          <w:rFonts w:hint="eastAsia" w:ascii="Times New Roman" w:hAnsi="Times New Roman"/>
          <w:szCs w:val="21"/>
        </w:rPr>
        <w:t>项目法律意见书等。</w:t>
      </w:r>
      <w:r>
        <w:rPr>
          <w:rStyle w:val="8"/>
          <w:rFonts w:hint="eastAsia" w:ascii="Times New Roman" w:hAnsi="Times New Roman"/>
          <w:szCs w:val="21"/>
        </w:rPr>
        <w:footnoteReference w:id="1"/>
      </w:r>
      <w:r>
        <w:rPr>
          <w:rFonts w:hint="eastAsia" w:ascii="Times New Roman" w:hAnsi="Times New Roman"/>
          <w:szCs w:val="21"/>
        </w:rPr>
        <w:t>由于土储债</w:t>
      </w:r>
      <w:r>
        <w:rPr>
          <w:rFonts w:hint="eastAsia" w:ascii="Times New Roman" w:hAnsi="Times New Roman" w:eastAsia="宋体" w:cs="Times New Roman"/>
        </w:rPr>
        <w:t>券</w:t>
      </w:r>
      <w:r>
        <w:rPr>
          <w:rFonts w:hint="eastAsia" w:ascii="Times New Roman" w:hAnsi="Times New Roman"/>
          <w:szCs w:val="21"/>
        </w:rPr>
        <w:t>属于项目收益专项债，要求收益和融资自求平衡，因此土储债</w:t>
      </w:r>
      <w:r>
        <w:rPr>
          <w:rFonts w:hint="eastAsia" w:ascii="Times New Roman" w:hAnsi="Times New Roman" w:eastAsia="宋体" w:cs="Times New Roman"/>
        </w:rPr>
        <w:t>券</w:t>
      </w:r>
      <w:r>
        <w:rPr>
          <w:rFonts w:hint="eastAsia" w:ascii="Times New Roman" w:hAnsi="Times New Roman"/>
          <w:szCs w:val="21"/>
        </w:rPr>
        <w:t>发行时披露了每一个项目详细的债券申请额、项目收益、债券保障倍数等方面的信息。本文以土储债</w:t>
      </w:r>
      <w:r>
        <w:rPr>
          <w:rFonts w:hint="eastAsia" w:ascii="Times New Roman" w:hAnsi="Times New Roman" w:eastAsia="宋体" w:cs="Times New Roman"/>
        </w:rPr>
        <w:t>券</w:t>
      </w:r>
      <w:r>
        <w:rPr>
          <w:rFonts w:hint="eastAsia" w:ascii="Times New Roman" w:hAnsi="Times New Roman"/>
          <w:szCs w:val="21"/>
        </w:rPr>
        <w:t>信用评级报告为基础，以其他文件作为补充，手工整理每一只土储债</w:t>
      </w:r>
      <w:r>
        <w:rPr>
          <w:rFonts w:hint="eastAsia" w:ascii="Times New Roman" w:hAnsi="Times New Roman" w:eastAsia="宋体" w:cs="Times New Roman"/>
        </w:rPr>
        <w:t>券</w:t>
      </w:r>
      <w:r>
        <w:rPr>
          <w:rFonts w:hint="eastAsia" w:ascii="Times New Roman" w:hAnsi="Times New Roman"/>
          <w:szCs w:val="21"/>
        </w:rPr>
        <w:t>对应的所有项目信息，包括项目所属城市、项目申请本期债券额度、土地面积、总投资、可用于资金平衡的土地出让收入、债券保障倍数等，共计整理了10262个项目层面的信息。</w:t>
      </w:r>
    </w:p>
    <w:p w14:paraId="45D2112E">
      <w:pPr>
        <w:widowControl/>
        <w:ind w:firstLine="416" w:firstLineChars="200"/>
        <w:jc w:val="left"/>
        <w:rPr>
          <w:rFonts w:ascii="Times New Roman" w:hAnsi="Times New Roman"/>
          <w:szCs w:val="21"/>
        </w:rPr>
      </w:pPr>
      <w:r>
        <w:rPr>
          <w:rFonts w:hint="eastAsia" w:ascii="Times New Roman" w:hAnsi="Times New Roman"/>
          <w:szCs w:val="21"/>
        </w:rPr>
        <w:t>二、</w:t>
      </w:r>
      <w:r>
        <w:rPr>
          <w:rFonts w:hint="eastAsia" w:ascii="Times New Roman" w:hAnsi="Times New Roman"/>
          <w:szCs w:val="21"/>
          <w:lang w:val="en-US" w:eastAsia="zh-CN"/>
        </w:rPr>
        <w:t>稳健性</w:t>
      </w:r>
      <w:r>
        <w:rPr>
          <w:rFonts w:hint="eastAsia" w:ascii="Times New Roman" w:hAnsi="Times New Roman"/>
          <w:szCs w:val="21"/>
        </w:rPr>
        <w:t>检验</w:t>
      </w:r>
    </w:p>
    <w:p w14:paraId="26E9D8BF">
      <w:pPr>
        <w:ind w:firstLine="416" w:firstLineChars="200"/>
        <w:rPr>
          <w:rFonts w:ascii="Times New Roman" w:hAnsi="Times New Roman"/>
        </w:rPr>
      </w:pPr>
      <w:r>
        <w:rPr>
          <w:rFonts w:hint="eastAsia" w:ascii="Times New Roman" w:hAnsi="Times New Roman"/>
          <w:szCs w:val="21"/>
        </w:rPr>
        <w:t>1.平行趋势检验</w:t>
      </w:r>
    </w:p>
    <w:p w14:paraId="742CD25A">
      <w:pPr>
        <w:jc w:val="center"/>
        <w:rPr>
          <w:rFonts w:ascii="Times New Roman" w:hAnsi="Times New Roman" w:eastAsia="黑体" w:cs="黑体"/>
        </w:rPr>
      </w:pPr>
      <w:r>
        <w:rPr>
          <w:rFonts w:hint="eastAsia" w:ascii="Times New Roman" w:hAnsi="Times New Roman" w:eastAsia="黑体" w:cs="黑体"/>
        </w:rPr>
        <w:t>附表1  平行趋势检验</w:t>
      </w:r>
    </w:p>
    <w:tbl>
      <w:tblPr>
        <w:tblStyle w:val="5"/>
        <w:tblW w:w="4998" w:type="pct"/>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2841"/>
        <w:gridCol w:w="2841"/>
        <w:gridCol w:w="2843"/>
      </w:tblGrid>
      <w:tr w14:paraId="7408AC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90" w:hRule="atLeast"/>
          <w:jc w:val="center"/>
        </w:trPr>
        <w:tc>
          <w:tcPr>
            <w:tcW w:w="1666" w:type="pct"/>
            <w:vMerge w:val="restart"/>
            <w:tcBorders>
              <w:bottom w:val="single" w:color="auto" w:sz="4" w:space="0"/>
            </w:tcBorders>
            <w:vAlign w:val="center"/>
          </w:tcPr>
          <w:p w14:paraId="768EC505">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变量</w:t>
            </w:r>
          </w:p>
        </w:tc>
        <w:tc>
          <w:tcPr>
            <w:tcW w:w="1666" w:type="pct"/>
            <w:tcBorders>
              <w:bottom w:val="single" w:color="auto" w:sz="4" w:space="0"/>
            </w:tcBorders>
            <w:vAlign w:val="center"/>
          </w:tcPr>
          <w:p w14:paraId="5E295A9C">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1667" w:type="pct"/>
            <w:tcBorders>
              <w:bottom w:val="single" w:color="auto" w:sz="4" w:space="0"/>
            </w:tcBorders>
            <w:vAlign w:val="center"/>
          </w:tcPr>
          <w:p w14:paraId="7385EE02">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w:t>
            </w:r>
          </w:p>
        </w:tc>
      </w:tr>
      <w:tr w14:paraId="4AEE62B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continue"/>
            <w:tcBorders>
              <w:top w:val="single" w:color="auto" w:sz="4" w:space="0"/>
              <w:bottom w:val="single" w:color="auto" w:sz="4" w:space="0"/>
            </w:tcBorders>
            <w:vAlign w:val="center"/>
          </w:tcPr>
          <w:p w14:paraId="0BD53CB2">
            <w:pPr>
              <w:jc w:val="center"/>
              <w:rPr>
                <w:rFonts w:ascii="Times New Roman" w:hAnsi="Times New Roman" w:eastAsia="宋体" w:cs="Times New Roman"/>
                <w:sz w:val="18"/>
                <w:szCs w:val="18"/>
              </w:rPr>
            </w:pPr>
          </w:p>
        </w:tc>
        <w:tc>
          <w:tcPr>
            <w:tcW w:w="1666" w:type="pct"/>
            <w:tcBorders>
              <w:top w:val="single" w:color="auto" w:sz="4" w:space="0"/>
              <w:bottom w:val="single" w:color="auto" w:sz="4" w:space="0"/>
            </w:tcBorders>
            <w:vAlign w:val="center"/>
          </w:tcPr>
          <w:p w14:paraId="0E863609">
            <w:pPr>
              <w:jc w:val="center"/>
              <w:rPr>
                <w:rFonts w:ascii="Times New Roman" w:hAnsi="Times New Roman" w:eastAsia="宋体" w:cs="Times New Roman"/>
                <w:sz w:val="18"/>
                <w:szCs w:val="18"/>
              </w:rPr>
            </w:pPr>
            <w:r>
              <w:rPr>
                <w:rFonts w:ascii="Times New Roman" w:hAnsi="Times New Roman" w:cs="Times New Roman"/>
                <w:i/>
                <w:iCs/>
                <w:sz w:val="18"/>
                <w:szCs w:val="18"/>
              </w:rPr>
              <w:t>Risk</w:t>
            </w:r>
          </w:p>
        </w:tc>
        <w:tc>
          <w:tcPr>
            <w:tcW w:w="1667" w:type="pct"/>
            <w:tcBorders>
              <w:top w:val="single" w:color="auto" w:sz="4" w:space="0"/>
              <w:bottom w:val="single" w:color="auto" w:sz="4" w:space="0"/>
            </w:tcBorders>
            <w:vAlign w:val="center"/>
          </w:tcPr>
          <w:p w14:paraId="4DD3A1AE">
            <w:pPr>
              <w:jc w:val="center"/>
              <w:rPr>
                <w:rFonts w:ascii="Times New Roman" w:hAnsi="Times New Roman" w:eastAsia="宋体" w:cs="Times New Roman"/>
                <w:sz w:val="18"/>
                <w:szCs w:val="18"/>
              </w:rPr>
            </w:pPr>
            <w:r>
              <w:rPr>
                <w:rFonts w:ascii="Times New Roman" w:hAnsi="Times New Roman" w:cs="Times New Roman"/>
                <w:i/>
                <w:iCs/>
                <w:sz w:val="18"/>
                <w:szCs w:val="18"/>
              </w:rPr>
              <w:t>Risk</w:t>
            </w:r>
          </w:p>
        </w:tc>
      </w:tr>
      <w:tr w14:paraId="3031AC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restart"/>
            <w:tcBorders>
              <w:top w:val="single" w:color="auto" w:sz="4" w:space="0"/>
              <w:tl2br w:val="nil"/>
              <w:tr2bl w:val="nil"/>
            </w:tcBorders>
            <w:vAlign w:val="center"/>
          </w:tcPr>
          <w:p w14:paraId="364D9312">
            <w:pPr>
              <w:jc w:val="center"/>
              <w:rPr>
                <w:rFonts w:ascii="Times New Roman" w:hAnsi="Times New Roman" w:eastAsia="宋体" w:cs="Times New Roman"/>
                <w:sz w:val="18"/>
                <w:szCs w:val="18"/>
              </w:rPr>
            </w:pPr>
            <m:oMathPara>
              <m:oMath>
                <m:r>
                  <m:rPr/>
                  <w:rPr>
                    <w:rFonts w:ascii="Cambria Math" w:hAnsi="Cambria Math" w:eastAsia="宋体" w:cs="Times New Roman"/>
                    <w:sz w:val="18"/>
                    <w:szCs w:val="18"/>
                  </w:rPr>
                  <m:t>Landfin×</m:t>
                </m:r>
                <m:sSub>
                  <m:sSubPr>
                    <m:ctrlPr>
                      <w:rPr>
                        <w:rFonts w:ascii="Cambria Math" w:hAnsi="Cambria Math" w:eastAsia="宋体" w:cs="Times New Roman"/>
                        <w:i/>
                        <w:sz w:val="18"/>
                        <w:szCs w:val="18"/>
                      </w:rPr>
                    </m:ctrlPr>
                  </m:sSubPr>
                  <m:e>
                    <m:r>
                      <m:rPr/>
                      <w:rPr>
                        <w:rFonts w:ascii="Cambria Math" w:hAnsi="Cambria Math" w:eastAsia="宋体" w:cs="Times New Roman"/>
                        <w:sz w:val="18"/>
                        <w:szCs w:val="18"/>
                      </w:rPr>
                      <m:t>Year</m:t>
                    </m:r>
                    <m:ctrlPr>
                      <w:rPr>
                        <w:rFonts w:ascii="Cambria Math" w:hAnsi="Cambria Math" w:eastAsia="宋体" w:cs="Times New Roman"/>
                        <w:i/>
                        <w:sz w:val="18"/>
                        <w:szCs w:val="18"/>
                      </w:rPr>
                    </m:ctrlPr>
                  </m:e>
                  <m:sub>
                    <m:r>
                      <m:rPr/>
                      <w:rPr>
                        <w:rFonts w:ascii="Cambria Math" w:hAnsi="Cambria Math" w:eastAsia="宋体" w:cs="Times New Roman"/>
                        <w:sz w:val="18"/>
                        <w:szCs w:val="18"/>
                      </w:rPr>
                      <m:t>2012</m:t>
                    </m:r>
                    <m:ctrlPr>
                      <w:rPr>
                        <w:rFonts w:ascii="Cambria Math" w:hAnsi="Cambria Math" w:eastAsia="宋体" w:cs="Times New Roman"/>
                        <w:i/>
                        <w:sz w:val="18"/>
                        <w:szCs w:val="18"/>
                      </w:rPr>
                    </m:ctrlPr>
                  </m:sub>
                </m:sSub>
              </m:oMath>
            </m:oMathPara>
          </w:p>
        </w:tc>
        <w:tc>
          <w:tcPr>
            <w:tcW w:w="1666" w:type="pct"/>
            <w:tcBorders>
              <w:top w:val="single" w:color="auto" w:sz="4" w:space="0"/>
              <w:tl2br w:val="nil"/>
              <w:tr2bl w:val="nil"/>
            </w:tcBorders>
          </w:tcPr>
          <w:p w14:paraId="590FE0CB">
            <w:pPr>
              <w:jc w:val="center"/>
              <w:rPr>
                <w:rFonts w:ascii="Times New Roman" w:hAnsi="Times New Roman" w:eastAsia="宋体" w:cs="仿宋"/>
                <w:sz w:val="18"/>
                <w:szCs w:val="18"/>
              </w:rPr>
            </w:pPr>
            <w:r>
              <w:rPr>
                <w:rFonts w:ascii="Times New Roman" w:hAnsi="Times New Roman" w:eastAsia="宋体" w:cs="仿宋"/>
                <w:sz w:val="18"/>
                <w:szCs w:val="18"/>
              </w:rPr>
              <w:t>0.0524</w:t>
            </w:r>
          </w:p>
        </w:tc>
        <w:tc>
          <w:tcPr>
            <w:tcW w:w="1667" w:type="pct"/>
            <w:tcBorders>
              <w:top w:val="single" w:color="auto" w:sz="4" w:space="0"/>
              <w:tl2br w:val="nil"/>
              <w:tr2bl w:val="nil"/>
            </w:tcBorders>
          </w:tcPr>
          <w:p w14:paraId="512FC1FB">
            <w:pPr>
              <w:jc w:val="center"/>
              <w:rPr>
                <w:rFonts w:ascii="Times New Roman" w:hAnsi="Times New Roman" w:eastAsia="宋体" w:cs="仿宋"/>
                <w:sz w:val="18"/>
                <w:szCs w:val="18"/>
              </w:rPr>
            </w:pPr>
            <w:r>
              <w:rPr>
                <w:rFonts w:ascii="Times New Roman" w:hAnsi="Times New Roman" w:eastAsia="宋体" w:cs="仿宋"/>
                <w:sz w:val="18"/>
                <w:szCs w:val="18"/>
              </w:rPr>
              <w:t>0.0396</w:t>
            </w:r>
          </w:p>
        </w:tc>
      </w:tr>
      <w:tr w14:paraId="556E56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continue"/>
            <w:tcBorders>
              <w:tl2br w:val="nil"/>
              <w:tr2bl w:val="nil"/>
            </w:tcBorders>
            <w:vAlign w:val="center"/>
          </w:tcPr>
          <w:p w14:paraId="7CA61235">
            <w:pPr>
              <w:jc w:val="center"/>
              <w:rPr>
                <w:rFonts w:ascii="Times New Roman" w:hAnsi="Times New Roman" w:eastAsia="宋体" w:cs="Times New Roman"/>
                <w:sz w:val="18"/>
                <w:szCs w:val="18"/>
              </w:rPr>
            </w:pPr>
          </w:p>
        </w:tc>
        <w:tc>
          <w:tcPr>
            <w:tcW w:w="1666" w:type="pct"/>
            <w:tcBorders>
              <w:tl2br w:val="nil"/>
              <w:tr2bl w:val="nil"/>
            </w:tcBorders>
          </w:tcPr>
          <w:p w14:paraId="0A156462">
            <w:pPr>
              <w:jc w:val="center"/>
              <w:rPr>
                <w:rFonts w:ascii="Times New Roman" w:hAnsi="Times New Roman" w:eastAsia="宋体" w:cs="仿宋"/>
                <w:sz w:val="18"/>
                <w:szCs w:val="18"/>
              </w:rPr>
            </w:pPr>
            <w:r>
              <w:rPr>
                <w:rFonts w:ascii="Times New Roman" w:hAnsi="Times New Roman" w:eastAsia="宋体" w:cs="仿宋"/>
                <w:sz w:val="18"/>
                <w:szCs w:val="18"/>
              </w:rPr>
              <w:t>(0.0339)</w:t>
            </w:r>
          </w:p>
        </w:tc>
        <w:tc>
          <w:tcPr>
            <w:tcW w:w="1667" w:type="pct"/>
            <w:tcBorders>
              <w:tl2br w:val="nil"/>
              <w:tr2bl w:val="nil"/>
            </w:tcBorders>
          </w:tcPr>
          <w:p w14:paraId="71B8B115">
            <w:pPr>
              <w:jc w:val="center"/>
              <w:rPr>
                <w:rFonts w:ascii="Times New Roman" w:hAnsi="Times New Roman" w:eastAsia="宋体" w:cs="仿宋"/>
                <w:sz w:val="18"/>
                <w:szCs w:val="18"/>
              </w:rPr>
            </w:pPr>
            <w:r>
              <w:rPr>
                <w:rFonts w:ascii="Times New Roman" w:hAnsi="Times New Roman" w:eastAsia="宋体" w:cs="仿宋"/>
                <w:sz w:val="18"/>
                <w:szCs w:val="18"/>
              </w:rPr>
              <w:t>(0.0336)</w:t>
            </w:r>
          </w:p>
        </w:tc>
      </w:tr>
      <w:tr w14:paraId="360BDA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restart"/>
            <w:tcBorders>
              <w:tl2br w:val="nil"/>
              <w:tr2bl w:val="nil"/>
            </w:tcBorders>
            <w:vAlign w:val="center"/>
          </w:tcPr>
          <w:p w14:paraId="04F0F87A">
            <w:pPr>
              <w:jc w:val="center"/>
              <w:rPr>
                <w:rFonts w:ascii="Times New Roman" w:hAnsi="Times New Roman" w:eastAsia="宋体" w:cs="Times New Roman"/>
                <w:sz w:val="18"/>
                <w:szCs w:val="18"/>
              </w:rPr>
            </w:pPr>
            <m:oMathPara>
              <m:oMath>
                <m:r>
                  <m:rPr/>
                  <w:rPr>
                    <w:rFonts w:ascii="Cambria Math" w:hAnsi="Cambria Math" w:eastAsia="宋体" w:cs="Times New Roman"/>
                    <w:sz w:val="18"/>
                    <w:szCs w:val="18"/>
                  </w:rPr>
                  <m:t>Landfin×</m:t>
                </m:r>
                <m:sSub>
                  <m:sSubPr>
                    <m:ctrlPr>
                      <w:rPr>
                        <w:rFonts w:ascii="Cambria Math" w:hAnsi="Cambria Math" w:eastAsia="宋体" w:cs="Times New Roman"/>
                        <w:i/>
                        <w:sz w:val="18"/>
                        <w:szCs w:val="18"/>
                      </w:rPr>
                    </m:ctrlPr>
                  </m:sSubPr>
                  <m:e>
                    <m:r>
                      <m:rPr/>
                      <w:rPr>
                        <w:rFonts w:ascii="Cambria Math" w:hAnsi="Cambria Math" w:eastAsia="宋体" w:cs="Times New Roman"/>
                        <w:sz w:val="18"/>
                        <w:szCs w:val="18"/>
                      </w:rPr>
                      <m:t>Year</m:t>
                    </m:r>
                    <m:ctrlPr>
                      <w:rPr>
                        <w:rFonts w:ascii="Cambria Math" w:hAnsi="Cambria Math" w:eastAsia="宋体" w:cs="Times New Roman"/>
                        <w:i/>
                        <w:sz w:val="18"/>
                        <w:szCs w:val="18"/>
                      </w:rPr>
                    </m:ctrlPr>
                  </m:e>
                  <m:sub>
                    <m:r>
                      <m:rPr/>
                      <w:rPr>
                        <w:rFonts w:ascii="Cambria Math" w:hAnsi="Cambria Math" w:eastAsia="宋体" w:cs="Times New Roman"/>
                        <w:sz w:val="18"/>
                        <w:szCs w:val="18"/>
                      </w:rPr>
                      <m:t>2013</m:t>
                    </m:r>
                    <m:ctrlPr>
                      <w:rPr>
                        <w:rFonts w:ascii="Cambria Math" w:hAnsi="Cambria Math" w:eastAsia="宋体" w:cs="Times New Roman"/>
                        <w:i/>
                        <w:sz w:val="18"/>
                        <w:szCs w:val="18"/>
                      </w:rPr>
                    </m:ctrlPr>
                  </m:sub>
                </m:sSub>
              </m:oMath>
            </m:oMathPara>
          </w:p>
        </w:tc>
        <w:tc>
          <w:tcPr>
            <w:tcW w:w="1666" w:type="pct"/>
            <w:tcBorders>
              <w:tl2br w:val="nil"/>
              <w:tr2bl w:val="nil"/>
            </w:tcBorders>
          </w:tcPr>
          <w:p w14:paraId="2B791E83">
            <w:pPr>
              <w:jc w:val="center"/>
              <w:rPr>
                <w:rFonts w:ascii="Times New Roman" w:hAnsi="Times New Roman" w:eastAsia="宋体" w:cs="仿宋"/>
                <w:sz w:val="18"/>
                <w:szCs w:val="18"/>
              </w:rPr>
            </w:pPr>
            <w:r>
              <w:rPr>
                <w:rFonts w:ascii="Times New Roman" w:hAnsi="Times New Roman" w:eastAsia="宋体" w:cs="仿宋"/>
                <w:sz w:val="18"/>
                <w:szCs w:val="18"/>
              </w:rPr>
              <w:t>0.0361</w:t>
            </w:r>
          </w:p>
        </w:tc>
        <w:tc>
          <w:tcPr>
            <w:tcW w:w="1667" w:type="pct"/>
            <w:tcBorders>
              <w:tl2br w:val="nil"/>
              <w:tr2bl w:val="nil"/>
            </w:tcBorders>
          </w:tcPr>
          <w:p w14:paraId="60945849">
            <w:pPr>
              <w:jc w:val="center"/>
              <w:rPr>
                <w:rFonts w:ascii="Times New Roman" w:hAnsi="Times New Roman" w:eastAsia="宋体" w:cs="仿宋"/>
                <w:sz w:val="18"/>
                <w:szCs w:val="18"/>
              </w:rPr>
            </w:pPr>
            <w:r>
              <w:rPr>
                <w:rFonts w:ascii="Times New Roman" w:hAnsi="Times New Roman" w:eastAsia="宋体" w:cs="仿宋"/>
                <w:sz w:val="18"/>
                <w:szCs w:val="18"/>
              </w:rPr>
              <w:t>0.0293</w:t>
            </w:r>
          </w:p>
        </w:tc>
      </w:tr>
      <w:tr w14:paraId="6454CC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continue"/>
            <w:tcBorders>
              <w:tl2br w:val="nil"/>
              <w:tr2bl w:val="nil"/>
            </w:tcBorders>
            <w:vAlign w:val="center"/>
          </w:tcPr>
          <w:p w14:paraId="7FC6CB94">
            <w:pPr>
              <w:jc w:val="center"/>
              <w:rPr>
                <w:rFonts w:ascii="Times New Roman" w:hAnsi="Times New Roman" w:eastAsia="宋体" w:cs="Times New Roman"/>
                <w:sz w:val="18"/>
                <w:szCs w:val="18"/>
              </w:rPr>
            </w:pPr>
          </w:p>
        </w:tc>
        <w:tc>
          <w:tcPr>
            <w:tcW w:w="1666" w:type="pct"/>
            <w:tcBorders>
              <w:tl2br w:val="nil"/>
              <w:tr2bl w:val="nil"/>
            </w:tcBorders>
          </w:tcPr>
          <w:p w14:paraId="087CDA04">
            <w:pPr>
              <w:jc w:val="center"/>
              <w:rPr>
                <w:rFonts w:ascii="Times New Roman" w:hAnsi="Times New Roman" w:eastAsia="宋体" w:cs="仿宋"/>
                <w:sz w:val="18"/>
                <w:szCs w:val="18"/>
              </w:rPr>
            </w:pPr>
            <w:r>
              <w:rPr>
                <w:rFonts w:ascii="Times New Roman" w:hAnsi="Times New Roman" w:eastAsia="宋体" w:cs="仿宋"/>
                <w:sz w:val="18"/>
                <w:szCs w:val="18"/>
              </w:rPr>
              <w:t>(0.0351)</w:t>
            </w:r>
          </w:p>
        </w:tc>
        <w:tc>
          <w:tcPr>
            <w:tcW w:w="1667" w:type="pct"/>
            <w:tcBorders>
              <w:tl2br w:val="nil"/>
              <w:tr2bl w:val="nil"/>
            </w:tcBorders>
          </w:tcPr>
          <w:p w14:paraId="38C478A3">
            <w:pPr>
              <w:jc w:val="center"/>
              <w:rPr>
                <w:rFonts w:ascii="Times New Roman" w:hAnsi="Times New Roman" w:eastAsia="宋体" w:cs="仿宋"/>
                <w:sz w:val="18"/>
                <w:szCs w:val="18"/>
              </w:rPr>
            </w:pPr>
            <w:r>
              <w:rPr>
                <w:rFonts w:ascii="Times New Roman" w:hAnsi="Times New Roman" w:eastAsia="宋体" w:cs="仿宋"/>
                <w:sz w:val="18"/>
                <w:szCs w:val="18"/>
              </w:rPr>
              <w:t>(0.0349)</w:t>
            </w:r>
          </w:p>
        </w:tc>
      </w:tr>
      <w:tr w14:paraId="2AB24B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restart"/>
            <w:tcBorders>
              <w:tl2br w:val="nil"/>
              <w:tr2bl w:val="nil"/>
            </w:tcBorders>
            <w:vAlign w:val="center"/>
          </w:tcPr>
          <w:p w14:paraId="24492CED">
            <w:pPr>
              <w:jc w:val="center"/>
              <w:rPr>
                <w:rFonts w:ascii="Times New Roman" w:hAnsi="Times New Roman" w:eastAsia="宋体" w:cs="Times New Roman"/>
                <w:sz w:val="18"/>
                <w:szCs w:val="18"/>
              </w:rPr>
            </w:pPr>
            <m:oMathPara>
              <m:oMath>
                <m:r>
                  <m:rPr/>
                  <w:rPr>
                    <w:rFonts w:ascii="Cambria Math" w:hAnsi="Cambria Math" w:eastAsia="宋体" w:cs="Times New Roman"/>
                    <w:sz w:val="18"/>
                    <w:szCs w:val="18"/>
                  </w:rPr>
                  <m:t>Landfin×</m:t>
                </m:r>
                <m:sSub>
                  <m:sSubPr>
                    <m:ctrlPr>
                      <w:rPr>
                        <w:rFonts w:ascii="Cambria Math" w:hAnsi="Cambria Math" w:eastAsia="宋体" w:cs="Times New Roman"/>
                        <w:i/>
                        <w:sz w:val="18"/>
                        <w:szCs w:val="18"/>
                      </w:rPr>
                    </m:ctrlPr>
                  </m:sSubPr>
                  <m:e>
                    <m:r>
                      <m:rPr/>
                      <w:rPr>
                        <w:rFonts w:ascii="Cambria Math" w:hAnsi="Cambria Math" w:eastAsia="宋体" w:cs="Times New Roman"/>
                        <w:sz w:val="18"/>
                        <w:szCs w:val="18"/>
                      </w:rPr>
                      <m:t>Year</m:t>
                    </m:r>
                    <m:ctrlPr>
                      <w:rPr>
                        <w:rFonts w:ascii="Cambria Math" w:hAnsi="Cambria Math" w:eastAsia="宋体" w:cs="Times New Roman"/>
                        <w:i/>
                        <w:sz w:val="18"/>
                        <w:szCs w:val="18"/>
                      </w:rPr>
                    </m:ctrlPr>
                  </m:e>
                  <m:sub>
                    <m:r>
                      <m:rPr/>
                      <w:rPr>
                        <w:rFonts w:ascii="Cambria Math" w:hAnsi="Cambria Math" w:eastAsia="宋体" w:cs="Times New Roman"/>
                        <w:sz w:val="18"/>
                        <w:szCs w:val="18"/>
                      </w:rPr>
                      <m:t>2014</m:t>
                    </m:r>
                    <m:ctrlPr>
                      <w:rPr>
                        <w:rFonts w:ascii="Cambria Math" w:hAnsi="Cambria Math" w:eastAsia="宋体" w:cs="Times New Roman"/>
                        <w:i/>
                        <w:sz w:val="18"/>
                        <w:szCs w:val="18"/>
                      </w:rPr>
                    </m:ctrlPr>
                  </m:sub>
                </m:sSub>
              </m:oMath>
            </m:oMathPara>
          </w:p>
        </w:tc>
        <w:tc>
          <w:tcPr>
            <w:tcW w:w="1666" w:type="pct"/>
            <w:tcBorders>
              <w:tl2br w:val="nil"/>
              <w:tr2bl w:val="nil"/>
            </w:tcBorders>
          </w:tcPr>
          <w:p w14:paraId="264D5538">
            <w:pPr>
              <w:jc w:val="center"/>
              <w:rPr>
                <w:rFonts w:ascii="Times New Roman" w:hAnsi="Times New Roman" w:eastAsia="宋体" w:cs="仿宋"/>
                <w:sz w:val="18"/>
                <w:szCs w:val="18"/>
              </w:rPr>
            </w:pPr>
            <w:r>
              <w:rPr>
                <w:rFonts w:ascii="Times New Roman" w:hAnsi="Times New Roman" w:eastAsia="宋体" w:cs="仿宋"/>
                <w:sz w:val="18"/>
                <w:szCs w:val="18"/>
              </w:rPr>
              <w:t>0.0168</w:t>
            </w:r>
          </w:p>
        </w:tc>
        <w:tc>
          <w:tcPr>
            <w:tcW w:w="1667" w:type="pct"/>
            <w:tcBorders>
              <w:tl2br w:val="nil"/>
              <w:tr2bl w:val="nil"/>
            </w:tcBorders>
          </w:tcPr>
          <w:p w14:paraId="7FCB0601">
            <w:pPr>
              <w:jc w:val="center"/>
              <w:rPr>
                <w:rFonts w:ascii="Times New Roman" w:hAnsi="Times New Roman" w:eastAsia="宋体" w:cs="仿宋"/>
                <w:sz w:val="18"/>
                <w:szCs w:val="18"/>
              </w:rPr>
            </w:pPr>
            <w:r>
              <w:rPr>
                <w:rFonts w:ascii="Times New Roman" w:hAnsi="Times New Roman" w:eastAsia="宋体" w:cs="仿宋"/>
                <w:sz w:val="18"/>
                <w:szCs w:val="18"/>
              </w:rPr>
              <w:t>0.0099</w:t>
            </w:r>
          </w:p>
        </w:tc>
      </w:tr>
      <w:tr w14:paraId="78A127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continue"/>
            <w:tcBorders>
              <w:tl2br w:val="nil"/>
              <w:tr2bl w:val="nil"/>
            </w:tcBorders>
            <w:vAlign w:val="center"/>
          </w:tcPr>
          <w:p w14:paraId="14FBC0AB">
            <w:pPr>
              <w:jc w:val="center"/>
              <w:rPr>
                <w:rFonts w:ascii="Times New Roman" w:hAnsi="Times New Roman" w:eastAsia="宋体" w:cs="Times New Roman"/>
                <w:sz w:val="18"/>
                <w:szCs w:val="18"/>
              </w:rPr>
            </w:pPr>
          </w:p>
        </w:tc>
        <w:tc>
          <w:tcPr>
            <w:tcW w:w="1666" w:type="pct"/>
            <w:tcBorders>
              <w:tl2br w:val="nil"/>
              <w:tr2bl w:val="nil"/>
            </w:tcBorders>
          </w:tcPr>
          <w:p w14:paraId="191B0B22">
            <w:pPr>
              <w:jc w:val="center"/>
              <w:rPr>
                <w:rFonts w:ascii="Times New Roman" w:hAnsi="Times New Roman" w:eastAsia="宋体" w:cs="仿宋"/>
                <w:sz w:val="18"/>
                <w:szCs w:val="18"/>
              </w:rPr>
            </w:pPr>
            <w:r>
              <w:rPr>
                <w:rFonts w:ascii="Times New Roman" w:hAnsi="Times New Roman" w:eastAsia="宋体" w:cs="仿宋"/>
                <w:sz w:val="18"/>
                <w:szCs w:val="18"/>
              </w:rPr>
              <w:t>(0.0353)</w:t>
            </w:r>
          </w:p>
        </w:tc>
        <w:tc>
          <w:tcPr>
            <w:tcW w:w="1667" w:type="pct"/>
            <w:tcBorders>
              <w:tl2br w:val="nil"/>
              <w:tr2bl w:val="nil"/>
            </w:tcBorders>
          </w:tcPr>
          <w:p w14:paraId="3D86D4DE">
            <w:pPr>
              <w:jc w:val="center"/>
              <w:rPr>
                <w:rFonts w:ascii="Times New Roman" w:hAnsi="Times New Roman" w:eastAsia="宋体" w:cs="仿宋"/>
                <w:sz w:val="18"/>
                <w:szCs w:val="18"/>
              </w:rPr>
            </w:pPr>
            <w:r>
              <w:rPr>
                <w:rFonts w:ascii="Times New Roman" w:hAnsi="Times New Roman" w:eastAsia="宋体" w:cs="仿宋"/>
                <w:sz w:val="18"/>
                <w:szCs w:val="18"/>
              </w:rPr>
              <w:t>(0.0348)</w:t>
            </w:r>
          </w:p>
        </w:tc>
      </w:tr>
      <w:tr w14:paraId="53FEDAA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restart"/>
            <w:tcBorders>
              <w:tl2br w:val="nil"/>
              <w:tr2bl w:val="nil"/>
            </w:tcBorders>
            <w:vAlign w:val="center"/>
          </w:tcPr>
          <w:p w14:paraId="596FBEAD">
            <w:pPr>
              <w:jc w:val="center"/>
              <w:rPr>
                <w:rFonts w:ascii="Times New Roman" w:hAnsi="Times New Roman" w:eastAsia="宋体" w:cs="Times New Roman"/>
                <w:sz w:val="18"/>
                <w:szCs w:val="18"/>
              </w:rPr>
            </w:pPr>
            <m:oMathPara>
              <m:oMath>
                <m:r>
                  <m:rPr/>
                  <w:rPr>
                    <w:rFonts w:ascii="Cambria Math" w:hAnsi="Cambria Math" w:eastAsia="宋体" w:cs="Times New Roman"/>
                    <w:sz w:val="18"/>
                    <w:szCs w:val="18"/>
                  </w:rPr>
                  <m:t>Landfin×</m:t>
                </m:r>
                <m:sSub>
                  <m:sSubPr>
                    <m:ctrlPr>
                      <w:rPr>
                        <w:rFonts w:ascii="Cambria Math" w:hAnsi="Cambria Math" w:eastAsia="宋体" w:cs="Times New Roman"/>
                        <w:i/>
                        <w:sz w:val="18"/>
                        <w:szCs w:val="18"/>
                      </w:rPr>
                    </m:ctrlPr>
                  </m:sSubPr>
                  <m:e>
                    <m:r>
                      <m:rPr/>
                      <w:rPr>
                        <w:rFonts w:ascii="Cambria Math" w:hAnsi="Cambria Math" w:eastAsia="宋体" w:cs="Times New Roman"/>
                        <w:sz w:val="18"/>
                        <w:szCs w:val="18"/>
                      </w:rPr>
                      <m:t>Year</m:t>
                    </m:r>
                    <m:ctrlPr>
                      <w:rPr>
                        <w:rFonts w:ascii="Cambria Math" w:hAnsi="Cambria Math" w:eastAsia="宋体" w:cs="Times New Roman"/>
                        <w:i/>
                        <w:sz w:val="18"/>
                        <w:szCs w:val="18"/>
                      </w:rPr>
                    </m:ctrlPr>
                  </m:e>
                  <m:sub>
                    <m:r>
                      <m:rPr/>
                      <w:rPr>
                        <w:rFonts w:ascii="Cambria Math" w:hAnsi="Cambria Math" w:eastAsia="宋体" w:cs="Times New Roman"/>
                        <w:sz w:val="18"/>
                        <w:szCs w:val="18"/>
                      </w:rPr>
                      <m:t>2015</m:t>
                    </m:r>
                    <m:ctrlPr>
                      <w:rPr>
                        <w:rFonts w:ascii="Cambria Math" w:hAnsi="Cambria Math" w:eastAsia="宋体" w:cs="Times New Roman"/>
                        <w:i/>
                        <w:sz w:val="18"/>
                        <w:szCs w:val="18"/>
                      </w:rPr>
                    </m:ctrlPr>
                  </m:sub>
                </m:sSub>
              </m:oMath>
            </m:oMathPara>
          </w:p>
        </w:tc>
        <w:tc>
          <w:tcPr>
            <w:tcW w:w="1666" w:type="pct"/>
            <w:tcBorders>
              <w:tl2br w:val="nil"/>
              <w:tr2bl w:val="nil"/>
            </w:tcBorders>
          </w:tcPr>
          <w:p w14:paraId="2EF2CCFD">
            <w:pPr>
              <w:jc w:val="center"/>
              <w:rPr>
                <w:rFonts w:ascii="Times New Roman" w:hAnsi="Times New Roman" w:eastAsia="宋体" w:cs="仿宋"/>
                <w:sz w:val="18"/>
                <w:szCs w:val="18"/>
              </w:rPr>
            </w:pPr>
            <w:r>
              <w:rPr>
                <w:rFonts w:ascii="Times New Roman" w:hAnsi="Times New Roman" w:eastAsia="宋体" w:cs="仿宋"/>
                <w:sz w:val="18"/>
                <w:szCs w:val="18"/>
              </w:rPr>
              <w:t>0.0073</w:t>
            </w:r>
          </w:p>
        </w:tc>
        <w:tc>
          <w:tcPr>
            <w:tcW w:w="1667" w:type="pct"/>
            <w:tcBorders>
              <w:tl2br w:val="nil"/>
              <w:tr2bl w:val="nil"/>
            </w:tcBorders>
          </w:tcPr>
          <w:p w14:paraId="33AECD18">
            <w:pPr>
              <w:jc w:val="center"/>
              <w:rPr>
                <w:rFonts w:ascii="Times New Roman" w:hAnsi="Times New Roman" w:eastAsia="宋体" w:cs="仿宋"/>
                <w:sz w:val="18"/>
                <w:szCs w:val="18"/>
              </w:rPr>
            </w:pPr>
            <w:r>
              <w:rPr>
                <w:rFonts w:ascii="Times New Roman" w:hAnsi="Times New Roman" w:eastAsia="宋体" w:cs="仿宋"/>
                <w:sz w:val="18"/>
                <w:szCs w:val="18"/>
              </w:rPr>
              <w:t>0.0039</w:t>
            </w:r>
          </w:p>
        </w:tc>
      </w:tr>
      <w:tr w14:paraId="0B9DE5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continue"/>
            <w:tcBorders>
              <w:tl2br w:val="nil"/>
              <w:tr2bl w:val="nil"/>
            </w:tcBorders>
            <w:vAlign w:val="center"/>
          </w:tcPr>
          <w:p w14:paraId="7315FBD9">
            <w:pPr>
              <w:jc w:val="center"/>
              <w:rPr>
                <w:rFonts w:ascii="Times New Roman" w:hAnsi="Times New Roman" w:eastAsia="宋体" w:cs="Times New Roman"/>
                <w:sz w:val="18"/>
                <w:szCs w:val="18"/>
              </w:rPr>
            </w:pPr>
          </w:p>
        </w:tc>
        <w:tc>
          <w:tcPr>
            <w:tcW w:w="1666" w:type="pct"/>
            <w:tcBorders>
              <w:tl2br w:val="nil"/>
              <w:tr2bl w:val="nil"/>
            </w:tcBorders>
          </w:tcPr>
          <w:p w14:paraId="2D6B97DD">
            <w:pPr>
              <w:jc w:val="center"/>
              <w:rPr>
                <w:rFonts w:ascii="Times New Roman" w:hAnsi="Times New Roman" w:eastAsia="宋体" w:cs="仿宋"/>
                <w:sz w:val="18"/>
                <w:szCs w:val="18"/>
              </w:rPr>
            </w:pPr>
            <w:r>
              <w:rPr>
                <w:rFonts w:ascii="Times New Roman" w:hAnsi="Times New Roman" w:eastAsia="宋体" w:cs="仿宋"/>
                <w:sz w:val="18"/>
                <w:szCs w:val="18"/>
              </w:rPr>
              <w:t>(0.0360)</w:t>
            </w:r>
          </w:p>
        </w:tc>
        <w:tc>
          <w:tcPr>
            <w:tcW w:w="1667" w:type="pct"/>
            <w:tcBorders>
              <w:tl2br w:val="nil"/>
              <w:tr2bl w:val="nil"/>
            </w:tcBorders>
          </w:tcPr>
          <w:p w14:paraId="13ADBFA5">
            <w:pPr>
              <w:jc w:val="center"/>
              <w:rPr>
                <w:rFonts w:ascii="Times New Roman" w:hAnsi="Times New Roman" w:eastAsia="宋体" w:cs="仿宋"/>
                <w:sz w:val="18"/>
                <w:szCs w:val="18"/>
              </w:rPr>
            </w:pPr>
            <w:r>
              <w:rPr>
                <w:rFonts w:ascii="Times New Roman" w:hAnsi="Times New Roman" w:eastAsia="宋体" w:cs="仿宋"/>
                <w:sz w:val="18"/>
                <w:szCs w:val="18"/>
              </w:rPr>
              <w:t>(0.0362)</w:t>
            </w:r>
          </w:p>
        </w:tc>
      </w:tr>
      <w:tr w14:paraId="5437F5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restart"/>
            <w:tcBorders>
              <w:tl2br w:val="nil"/>
              <w:tr2bl w:val="nil"/>
            </w:tcBorders>
            <w:vAlign w:val="center"/>
          </w:tcPr>
          <w:p w14:paraId="438A656D">
            <w:pPr>
              <w:jc w:val="center"/>
              <w:rPr>
                <w:rFonts w:ascii="Times New Roman" w:hAnsi="Times New Roman" w:eastAsia="宋体" w:cs="Times New Roman"/>
                <w:sz w:val="18"/>
                <w:szCs w:val="18"/>
              </w:rPr>
            </w:pPr>
            <m:oMathPara>
              <m:oMath>
                <m:r>
                  <m:rPr/>
                  <w:rPr>
                    <w:rFonts w:ascii="Cambria Math" w:hAnsi="Cambria Math" w:eastAsia="宋体" w:cs="Times New Roman"/>
                    <w:sz w:val="18"/>
                    <w:szCs w:val="18"/>
                  </w:rPr>
                  <m:t>Landfin×</m:t>
                </m:r>
                <m:sSub>
                  <m:sSubPr>
                    <m:ctrlPr>
                      <w:rPr>
                        <w:rFonts w:ascii="Cambria Math" w:hAnsi="Cambria Math" w:eastAsia="宋体" w:cs="Times New Roman"/>
                        <w:i/>
                        <w:sz w:val="18"/>
                        <w:szCs w:val="18"/>
                      </w:rPr>
                    </m:ctrlPr>
                  </m:sSubPr>
                  <m:e>
                    <m:r>
                      <m:rPr/>
                      <w:rPr>
                        <w:rFonts w:ascii="Cambria Math" w:hAnsi="Cambria Math" w:eastAsia="宋体" w:cs="Times New Roman"/>
                        <w:sz w:val="18"/>
                        <w:szCs w:val="18"/>
                      </w:rPr>
                      <m:t>Year</m:t>
                    </m:r>
                    <m:ctrlPr>
                      <w:rPr>
                        <w:rFonts w:ascii="Cambria Math" w:hAnsi="Cambria Math" w:eastAsia="宋体" w:cs="Times New Roman"/>
                        <w:i/>
                        <w:sz w:val="18"/>
                        <w:szCs w:val="18"/>
                      </w:rPr>
                    </m:ctrlPr>
                  </m:e>
                  <m:sub>
                    <m:r>
                      <m:rPr/>
                      <w:rPr>
                        <w:rFonts w:ascii="Cambria Math" w:hAnsi="Cambria Math" w:eastAsia="宋体" w:cs="Times New Roman"/>
                        <w:sz w:val="18"/>
                        <w:szCs w:val="18"/>
                      </w:rPr>
                      <m:t>2017</m:t>
                    </m:r>
                    <m:ctrlPr>
                      <w:rPr>
                        <w:rFonts w:ascii="Cambria Math" w:hAnsi="Cambria Math" w:eastAsia="宋体" w:cs="Times New Roman"/>
                        <w:i/>
                        <w:sz w:val="18"/>
                        <w:szCs w:val="18"/>
                      </w:rPr>
                    </m:ctrlPr>
                  </m:sub>
                </m:sSub>
              </m:oMath>
            </m:oMathPara>
          </w:p>
        </w:tc>
        <w:tc>
          <w:tcPr>
            <w:tcW w:w="1666" w:type="pct"/>
            <w:tcBorders>
              <w:tl2br w:val="nil"/>
              <w:tr2bl w:val="nil"/>
            </w:tcBorders>
          </w:tcPr>
          <w:p w14:paraId="2F61E682">
            <w:pPr>
              <w:jc w:val="center"/>
              <w:rPr>
                <w:rFonts w:ascii="Times New Roman" w:hAnsi="Times New Roman" w:eastAsia="宋体" w:cs="仿宋"/>
                <w:sz w:val="18"/>
                <w:szCs w:val="18"/>
              </w:rPr>
            </w:pPr>
            <w:r>
              <w:rPr>
                <w:rFonts w:ascii="Times New Roman" w:hAnsi="Times New Roman" w:eastAsia="宋体" w:cs="仿宋"/>
                <w:sz w:val="18"/>
                <w:szCs w:val="18"/>
              </w:rPr>
              <w:t>0.4363***</w:t>
            </w:r>
          </w:p>
        </w:tc>
        <w:tc>
          <w:tcPr>
            <w:tcW w:w="1667" w:type="pct"/>
            <w:tcBorders>
              <w:tl2br w:val="nil"/>
              <w:tr2bl w:val="nil"/>
            </w:tcBorders>
          </w:tcPr>
          <w:p w14:paraId="59D4CFE2">
            <w:pPr>
              <w:jc w:val="center"/>
              <w:rPr>
                <w:rFonts w:ascii="Times New Roman" w:hAnsi="Times New Roman" w:eastAsia="宋体" w:cs="仿宋"/>
                <w:sz w:val="18"/>
                <w:szCs w:val="18"/>
              </w:rPr>
            </w:pPr>
            <w:r>
              <w:rPr>
                <w:rFonts w:ascii="Times New Roman" w:hAnsi="Times New Roman" w:eastAsia="宋体" w:cs="仿宋"/>
                <w:sz w:val="18"/>
                <w:szCs w:val="18"/>
              </w:rPr>
              <w:t>0.4374***</w:t>
            </w:r>
          </w:p>
        </w:tc>
      </w:tr>
      <w:tr w14:paraId="1E7DD6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continue"/>
            <w:tcBorders>
              <w:tl2br w:val="nil"/>
              <w:tr2bl w:val="nil"/>
            </w:tcBorders>
            <w:vAlign w:val="center"/>
          </w:tcPr>
          <w:p w14:paraId="01E37E37">
            <w:pPr>
              <w:jc w:val="center"/>
              <w:rPr>
                <w:rFonts w:ascii="Times New Roman" w:hAnsi="Times New Roman" w:eastAsia="宋体" w:cs="Times New Roman"/>
                <w:sz w:val="18"/>
                <w:szCs w:val="18"/>
              </w:rPr>
            </w:pPr>
          </w:p>
        </w:tc>
        <w:tc>
          <w:tcPr>
            <w:tcW w:w="1666" w:type="pct"/>
            <w:tcBorders>
              <w:tl2br w:val="nil"/>
              <w:tr2bl w:val="nil"/>
            </w:tcBorders>
          </w:tcPr>
          <w:p w14:paraId="0F6DBF07">
            <w:pPr>
              <w:jc w:val="center"/>
              <w:rPr>
                <w:rFonts w:ascii="Times New Roman" w:hAnsi="Times New Roman" w:eastAsia="宋体" w:cs="仿宋"/>
                <w:sz w:val="18"/>
                <w:szCs w:val="18"/>
              </w:rPr>
            </w:pPr>
            <w:r>
              <w:rPr>
                <w:rFonts w:ascii="Times New Roman" w:hAnsi="Times New Roman" w:eastAsia="宋体" w:cs="仿宋"/>
                <w:sz w:val="18"/>
                <w:szCs w:val="18"/>
              </w:rPr>
              <w:t>(0.0902)</w:t>
            </w:r>
          </w:p>
        </w:tc>
        <w:tc>
          <w:tcPr>
            <w:tcW w:w="1667" w:type="pct"/>
            <w:tcBorders>
              <w:tl2br w:val="nil"/>
              <w:tr2bl w:val="nil"/>
            </w:tcBorders>
          </w:tcPr>
          <w:p w14:paraId="0046281F">
            <w:pPr>
              <w:jc w:val="center"/>
              <w:rPr>
                <w:rFonts w:ascii="Times New Roman" w:hAnsi="Times New Roman" w:eastAsia="宋体" w:cs="仿宋"/>
                <w:sz w:val="18"/>
                <w:szCs w:val="18"/>
              </w:rPr>
            </w:pPr>
            <w:r>
              <w:rPr>
                <w:rFonts w:ascii="Times New Roman" w:hAnsi="Times New Roman" w:eastAsia="宋体" w:cs="仿宋"/>
                <w:sz w:val="18"/>
                <w:szCs w:val="18"/>
              </w:rPr>
              <w:t>(0.0885)</w:t>
            </w:r>
          </w:p>
        </w:tc>
      </w:tr>
      <w:tr w14:paraId="154383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restart"/>
            <w:tcBorders>
              <w:tl2br w:val="nil"/>
              <w:tr2bl w:val="nil"/>
            </w:tcBorders>
            <w:vAlign w:val="center"/>
          </w:tcPr>
          <w:p w14:paraId="5CA255A9">
            <w:pPr>
              <w:jc w:val="center"/>
              <w:rPr>
                <w:rFonts w:ascii="Times New Roman" w:hAnsi="Times New Roman" w:eastAsia="宋体" w:cs="Times New Roman"/>
                <w:sz w:val="18"/>
                <w:szCs w:val="18"/>
              </w:rPr>
            </w:pPr>
            <m:oMathPara>
              <m:oMath>
                <m:r>
                  <m:rPr/>
                  <w:rPr>
                    <w:rFonts w:ascii="Cambria Math" w:hAnsi="Cambria Math" w:eastAsia="宋体" w:cs="Times New Roman"/>
                    <w:sz w:val="18"/>
                    <w:szCs w:val="18"/>
                  </w:rPr>
                  <m:t>Landfin×</m:t>
                </m:r>
                <m:sSub>
                  <m:sSubPr>
                    <m:ctrlPr>
                      <w:rPr>
                        <w:rFonts w:ascii="Cambria Math" w:hAnsi="Cambria Math" w:eastAsia="宋体" w:cs="Times New Roman"/>
                        <w:i/>
                        <w:sz w:val="18"/>
                        <w:szCs w:val="18"/>
                      </w:rPr>
                    </m:ctrlPr>
                  </m:sSubPr>
                  <m:e>
                    <m:r>
                      <m:rPr/>
                      <w:rPr>
                        <w:rFonts w:ascii="Cambria Math" w:hAnsi="Cambria Math" w:eastAsia="宋体" w:cs="Times New Roman"/>
                        <w:sz w:val="18"/>
                        <w:szCs w:val="18"/>
                      </w:rPr>
                      <m:t>Year</m:t>
                    </m:r>
                    <m:ctrlPr>
                      <w:rPr>
                        <w:rFonts w:ascii="Cambria Math" w:hAnsi="Cambria Math" w:eastAsia="宋体" w:cs="Times New Roman"/>
                        <w:i/>
                        <w:sz w:val="18"/>
                        <w:szCs w:val="18"/>
                      </w:rPr>
                    </m:ctrlPr>
                  </m:e>
                  <m:sub>
                    <m:r>
                      <m:rPr/>
                      <w:rPr>
                        <w:rFonts w:ascii="Cambria Math" w:hAnsi="Cambria Math" w:eastAsia="宋体" w:cs="Times New Roman"/>
                        <w:sz w:val="18"/>
                        <w:szCs w:val="18"/>
                      </w:rPr>
                      <m:t>2018</m:t>
                    </m:r>
                    <m:ctrlPr>
                      <w:rPr>
                        <w:rFonts w:ascii="Cambria Math" w:hAnsi="Cambria Math" w:eastAsia="宋体" w:cs="Times New Roman"/>
                        <w:i/>
                        <w:sz w:val="18"/>
                        <w:szCs w:val="18"/>
                      </w:rPr>
                    </m:ctrlPr>
                  </m:sub>
                </m:sSub>
              </m:oMath>
            </m:oMathPara>
          </w:p>
        </w:tc>
        <w:tc>
          <w:tcPr>
            <w:tcW w:w="1666" w:type="pct"/>
            <w:tcBorders>
              <w:tl2br w:val="nil"/>
              <w:tr2bl w:val="nil"/>
            </w:tcBorders>
          </w:tcPr>
          <w:p w14:paraId="5ABD2B4E">
            <w:pPr>
              <w:jc w:val="center"/>
              <w:rPr>
                <w:rFonts w:ascii="Times New Roman" w:hAnsi="Times New Roman" w:eastAsia="宋体" w:cs="仿宋"/>
                <w:sz w:val="18"/>
                <w:szCs w:val="18"/>
              </w:rPr>
            </w:pPr>
            <w:r>
              <w:rPr>
                <w:rFonts w:ascii="Times New Roman" w:hAnsi="Times New Roman" w:eastAsia="宋体" w:cs="仿宋"/>
                <w:sz w:val="18"/>
                <w:szCs w:val="18"/>
              </w:rPr>
              <w:t>0.6951***</w:t>
            </w:r>
          </w:p>
        </w:tc>
        <w:tc>
          <w:tcPr>
            <w:tcW w:w="1667" w:type="pct"/>
            <w:tcBorders>
              <w:tl2br w:val="nil"/>
              <w:tr2bl w:val="nil"/>
            </w:tcBorders>
          </w:tcPr>
          <w:p w14:paraId="2633334B">
            <w:pPr>
              <w:jc w:val="center"/>
              <w:rPr>
                <w:rFonts w:ascii="Times New Roman" w:hAnsi="Times New Roman" w:eastAsia="宋体" w:cs="仿宋"/>
                <w:sz w:val="18"/>
                <w:szCs w:val="18"/>
              </w:rPr>
            </w:pPr>
            <w:r>
              <w:rPr>
                <w:rFonts w:ascii="Times New Roman" w:hAnsi="Times New Roman" w:eastAsia="宋体" w:cs="仿宋"/>
                <w:sz w:val="18"/>
                <w:szCs w:val="18"/>
              </w:rPr>
              <w:t>0.7029***</w:t>
            </w:r>
          </w:p>
        </w:tc>
      </w:tr>
      <w:tr w14:paraId="647968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continue"/>
            <w:tcBorders>
              <w:tl2br w:val="nil"/>
              <w:tr2bl w:val="nil"/>
            </w:tcBorders>
            <w:vAlign w:val="center"/>
          </w:tcPr>
          <w:p w14:paraId="5A1AF172">
            <w:pPr>
              <w:jc w:val="center"/>
              <w:rPr>
                <w:rFonts w:ascii="Times New Roman" w:hAnsi="Times New Roman" w:eastAsia="宋体" w:cs="Times New Roman"/>
                <w:sz w:val="18"/>
                <w:szCs w:val="18"/>
              </w:rPr>
            </w:pPr>
          </w:p>
        </w:tc>
        <w:tc>
          <w:tcPr>
            <w:tcW w:w="1666" w:type="pct"/>
            <w:tcBorders>
              <w:tl2br w:val="nil"/>
              <w:tr2bl w:val="nil"/>
            </w:tcBorders>
          </w:tcPr>
          <w:p w14:paraId="56AD7CDA">
            <w:pPr>
              <w:jc w:val="center"/>
              <w:rPr>
                <w:rFonts w:ascii="Times New Roman" w:hAnsi="Times New Roman" w:eastAsia="宋体" w:cs="仿宋"/>
                <w:sz w:val="18"/>
                <w:szCs w:val="18"/>
              </w:rPr>
            </w:pPr>
            <w:r>
              <w:rPr>
                <w:rFonts w:ascii="Times New Roman" w:hAnsi="Times New Roman" w:eastAsia="宋体" w:cs="仿宋"/>
                <w:sz w:val="18"/>
                <w:szCs w:val="18"/>
              </w:rPr>
              <w:t>(0.0534)</w:t>
            </w:r>
          </w:p>
        </w:tc>
        <w:tc>
          <w:tcPr>
            <w:tcW w:w="1667" w:type="pct"/>
            <w:tcBorders>
              <w:tl2br w:val="nil"/>
              <w:tr2bl w:val="nil"/>
            </w:tcBorders>
          </w:tcPr>
          <w:p w14:paraId="589B9A40">
            <w:pPr>
              <w:jc w:val="center"/>
              <w:rPr>
                <w:rFonts w:ascii="Times New Roman" w:hAnsi="Times New Roman" w:eastAsia="宋体" w:cs="仿宋"/>
                <w:sz w:val="18"/>
                <w:szCs w:val="18"/>
              </w:rPr>
            </w:pPr>
            <w:r>
              <w:rPr>
                <w:rFonts w:ascii="Times New Roman" w:hAnsi="Times New Roman" w:eastAsia="宋体" w:cs="仿宋"/>
                <w:sz w:val="18"/>
                <w:szCs w:val="18"/>
              </w:rPr>
              <w:t>(0.0535)</w:t>
            </w:r>
          </w:p>
        </w:tc>
      </w:tr>
      <w:tr w14:paraId="4A23FB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restart"/>
            <w:tcBorders>
              <w:tl2br w:val="nil"/>
              <w:tr2bl w:val="nil"/>
            </w:tcBorders>
            <w:vAlign w:val="center"/>
          </w:tcPr>
          <w:p w14:paraId="2098F27E">
            <w:pPr>
              <w:jc w:val="center"/>
              <w:rPr>
                <w:rFonts w:ascii="Times New Roman" w:hAnsi="Times New Roman" w:eastAsia="宋体" w:cs="Times New Roman"/>
                <w:sz w:val="18"/>
                <w:szCs w:val="18"/>
              </w:rPr>
            </w:pPr>
            <m:oMathPara>
              <m:oMath>
                <m:r>
                  <m:rPr/>
                  <w:rPr>
                    <w:rFonts w:ascii="Cambria Math" w:hAnsi="Cambria Math" w:eastAsia="宋体" w:cs="Times New Roman"/>
                    <w:sz w:val="18"/>
                    <w:szCs w:val="18"/>
                  </w:rPr>
                  <m:t>Landfin×</m:t>
                </m:r>
                <m:sSub>
                  <m:sSubPr>
                    <m:ctrlPr>
                      <w:rPr>
                        <w:rFonts w:ascii="Cambria Math" w:hAnsi="Cambria Math" w:eastAsia="宋体" w:cs="Times New Roman"/>
                        <w:i/>
                        <w:sz w:val="18"/>
                        <w:szCs w:val="18"/>
                      </w:rPr>
                    </m:ctrlPr>
                  </m:sSubPr>
                  <m:e>
                    <m:r>
                      <m:rPr/>
                      <w:rPr>
                        <w:rFonts w:ascii="Cambria Math" w:hAnsi="Cambria Math" w:eastAsia="宋体" w:cs="Times New Roman"/>
                        <w:sz w:val="18"/>
                        <w:szCs w:val="18"/>
                      </w:rPr>
                      <m:t>Year</m:t>
                    </m:r>
                    <m:ctrlPr>
                      <w:rPr>
                        <w:rFonts w:ascii="Cambria Math" w:hAnsi="Cambria Math" w:eastAsia="宋体" w:cs="Times New Roman"/>
                        <w:i/>
                        <w:sz w:val="18"/>
                        <w:szCs w:val="18"/>
                      </w:rPr>
                    </m:ctrlPr>
                  </m:e>
                  <m:sub>
                    <m:r>
                      <m:rPr/>
                      <w:rPr>
                        <w:rFonts w:ascii="Cambria Math" w:hAnsi="Cambria Math" w:eastAsia="宋体" w:cs="Times New Roman"/>
                        <w:sz w:val="18"/>
                        <w:szCs w:val="18"/>
                      </w:rPr>
                      <m:t>2019</m:t>
                    </m:r>
                    <m:ctrlPr>
                      <w:rPr>
                        <w:rFonts w:ascii="Cambria Math" w:hAnsi="Cambria Math" w:eastAsia="宋体" w:cs="Times New Roman"/>
                        <w:i/>
                        <w:sz w:val="18"/>
                        <w:szCs w:val="18"/>
                      </w:rPr>
                    </m:ctrlPr>
                  </m:sub>
                </m:sSub>
              </m:oMath>
            </m:oMathPara>
          </w:p>
        </w:tc>
        <w:tc>
          <w:tcPr>
            <w:tcW w:w="1666" w:type="pct"/>
            <w:tcBorders>
              <w:tl2br w:val="nil"/>
              <w:tr2bl w:val="nil"/>
            </w:tcBorders>
          </w:tcPr>
          <w:p w14:paraId="269BA1B8">
            <w:pPr>
              <w:jc w:val="center"/>
              <w:rPr>
                <w:rFonts w:ascii="Times New Roman" w:hAnsi="Times New Roman" w:eastAsia="宋体" w:cs="仿宋"/>
                <w:sz w:val="18"/>
                <w:szCs w:val="18"/>
              </w:rPr>
            </w:pPr>
            <w:r>
              <w:rPr>
                <w:rFonts w:ascii="Times New Roman" w:hAnsi="Times New Roman" w:eastAsia="宋体" w:cs="仿宋"/>
                <w:sz w:val="18"/>
                <w:szCs w:val="18"/>
              </w:rPr>
              <w:t>0.7532***</w:t>
            </w:r>
          </w:p>
        </w:tc>
        <w:tc>
          <w:tcPr>
            <w:tcW w:w="1667" w:type="pct"/>
            <w:tcBorders>
              <w:tl2br w:val="nil"/>
              <w:tr2bl w:val="nil"/>
            </w:tcBorders>
          </w:tcPr>
          <w:p w14:paraId="3B97D06F">
            <w:pPr>
              <w:jc w:val="center"/>
              <w:rPr>
                <w:rFonts w:ascii="Times New Roman" w:hAnsi="Times New Roman" w:eastAsia="宋体" w:cs="仿宋"/>
                <w:sz w:val="18"/>
                <w:szCs w:val="18"/>
              </w:rPr>
            </w:pPr>
            <w:r>
              <w:rPr>
                <w:rFonts w:ascii="Times New Roman" w:hAnsi="Times New Roman" w:eastAsia="宋体" w:cs="仿宋"/>
                <w:sz w:val="18"/>
                <w:szCs w:val="18"/>
              </w:rPr>
              <w:t>0.7646***</w:t>
            </w:r>
          </w:p>
        </w:tc>
      </w:tr>
      <w:tr w14:paraId="0DEFBC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vMerge w:val="continue"/>
            <w:tcBorders>
              <w:tl2br w:val="nil"/>
              <w:tr2bl w:val="nil"/>
            </w:tcBorders>
            <w:vAlign w:val="center"/>
          </w:tcPr>
          <w:p w14:paraId="6180D51F">
            <w:pPr>
              <w:jc w:val="center"/>
              <w:rPr>
                <w:rFonts w:ascii="Times New Roman" w:hAnsi="Times New Roman" w:eastAsia="宋体" w:cs="Times New Roman"/>
                <w:sz w:val="18"/>
                <w:szCs w:val="18"/>
              </w:rPr>
            </w:pPr>
          </w:p>
        </w:tc>
        <w:tc>
          <w:tcPr>
            <w:tcW w:w="1666" w:type="pct"/>
            <w:tcBorders>
              <w:tl2br w:val="nil"/>
              <w:tr2bl w:val="nil"/>
            </w:tcBorders>
          </w:tcPr>
          <w:p w14:paraId="267CEFB0">
            <w:pPr>
              <w:jc w:val="center"/>
              <w:rPr>
                <w:rFonts w:ascii="Times New Roman" w:hAnsi="Times New Roman" w:eastAsia="宋体" w:cs="仿宋"/>
                <w:sz w:val="18"/>
                <w:szCs w:val="18"/>
              </w:rPr>
            </w:pPr>
            <w:r>
              <w:rPr>
                <w:rFonts w:ascii="Times New Roman" w:hAnsi="Times New Roman" w:eastAsia="宋体" w:cs="仿宋"/>
                <w:sz w:val="18"/>
                <w:szCs w:val="18"/>
              </w:rPr>
              <w:t>(0.0410)</w:t>
            </w:r>
          </w:p>
        </w:tc>
        <w:tc>
          <w:tcPr>
            <w:tcW w:w="1667" w:type="pct"/>
            <w:tcBorders>
              <w:tl2br w:val="nil"/>
              <w:tr2bl w:val="nil"/>
            </w:tcBorders>
          </w:tcPr>
          <w:p w14:paraId="2203FC38">
            <w:pPr>
              <w:jc w:val="center"/>
              <w:rPr>
                <w:rFonts w:ascii="Times New Roman" w:hAnsi="Times New Roman" w:eastAsia="宋体" w:cs="仿宋"/>
                <w:sz w:val="18"/>
                <w:szCs w:val="18"/>
              </w:rPr>
            </w:pPr>
            <w:r>
              <w:rPr>
                <w:rFonts w:ascii="Times New Roman" w:hAnsi="Times New Roman" w:eastAsia="宋体" w:cs="仿宋"/>
                <w:sz w:val="18"/>
                <w:szCs w:val="18"/>
              </w:rPr>
              <w:t>(0.0402)</w:t>
            </w:r>
          </w:p>
        </w:tc>
      </w:tr>
      <w:tr w14:paraId="0A782A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Borders>
              <w:tl2br w:val="nil"/>
              <w:tr2bl w:val="nil"/>
            </w:tcBorders>
            <w:vAlign w:val="center"/>
          </w:tcPr>
          <w:p w14:paraId="41211649">
            <w:pPr>
              <w:jc w:val="center"/>
              <w:rPr>
                <w:rFonts w:ascii="Times New Roman" w:hAnsi="Times New Roman" w:eastAsia="宋体" w:cs="Times New Roman"/>
                <w:sz w:val="18"/>
                <w:szCs w:val="18"/>
              </w:rPr>
            </w:pPr>
            <w:r>
              <w:rPr>
                <w:rFonts w:hint="eastAsia" w:ascii="Times New Roman" w:hAnsi="Times New Roman" w:eastAsia="宋体" w:cs="仿宋"/>
                <w:sz w:val="18"/>
                <w:szCs w:val="18"/>
              </w:rPr>
              <w:t>控制变量</w:t>
            </w:r>
          </w:p>
        </w:tc>
        <w:tc>
          <w:tcPr>
            <w:tcW w:w="1666" w:type="pct"/>
            <w:tcBorders>
              <w:tl2br w:val="nil"/>
              <w:tr2bl w:val="nil"/>
            </w:tcBorders>
            <w:shd w:val="clear" w:color="auto" w:fill="auto"/>
            <w:vAlign w:val="center"/>
          </w:tcPr>
          <w:p w14:paraId="2D60B6A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667" w:type="pct"/>
            <w:tcBorders>
              <w:tl2br w:val="nil"/>
              <w:tr2bl w:val="nil"/>
            </w:tcBorders>
            <w:shd w:val="clear" w:color="auto" w:fill="auto"/>
            <w:vAlign w:val="center"/>
          </w:tcPr>
          <w:p w14:paraId="724CE19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r>
      <w:tr w14:paraId="310884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Borders>
              <w:tl2br w:val="nil"/>
              <w:tr2bl w:val="nil"/>
            </w:tcBorders>
            <w:vAlign w:val="center"/>
          </w:tcPr>
          <w:p w14:paraId="3F13159F">
            <w:pPr>
              <w:jc w:val="center"/>
              <w:rPr>
                <w:rFonts w:ascii="Times New Roman" w:hAnsi="Times New Roman" w:eastAsia="宋体" w:cs="Times New Roman"/>
                <w:sz w:val="18"/>
                <w:szCs w:val="18"/>
              </w:rPr>
            </w:pPr>
            <w:r>
              <w:rPr>
                <w:rFonts w:hint="eastAsia" w:ascii="Times New Roman" w:hAnsi="Times New Roman" w:eastAsia="宋体" w:cs="仿宋"/>
                <w:sz w:val="18"/>
                <w:szCs w:val="18"/>
              </w:rPr>
              <w:t>城市、年份效应</w:t>
            </w:r>
          </w:p>
        </w:tc>
        <w:tc>
          <w:tcPr>
            <w:tcW w:w="1666" w:type="pct"/>
            <w:tcBorders>
              <w:tl2br w:val="nil"/>
              <w:tr2bl w:val="nil"/>
            </w:tcBorders>
            <w:shd w:val="clear" w:color="auto" w:fill="auto"/>
            <w:vAlign w:val="center"/>
          </w:tcPr>
          <w:p w14:paraId="5A313A98">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c>
          <w:tcPr>
            <w:tcW w:w="1667" w:type="pct"/>
            <w:tcBorders>
              <w:tl2br w:val="nil"/>
              <w:tr2bl w:val="nil"/>
            </w:tcBorders>
            <w:shd w:val="clear" w:color="auto" w:fill="auto"/>
            <w:vAlign w:val="center"/>
          </w:tcPr>
          <w:p w14:paraId="2DA1BE26">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r>
      <w:tr w14:paraId="39DE6C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666" w:type="pct"/>
            <w:tcBorders>
              <w:top w:val="single" w:color="auto" w:sz="4" w:space="0"/>
            </w:tcBorders>
            <w:vAlign w:val="center"/>
          </w:tcPr>
          <w:p w14:paraId="2EE26E78">
            <w:pPr>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N</w:t>
            </w:r>
          </w:p>
        </w:tc>
        <w:tc>
          <w:tcPr>
            <w:tcW w:w="1666" w:type="pct"/>
            <w:tcBorders>
              <w:top w:val="single" w:color="auto" w:sz="4" w:space="0"/>
            </w:tcBorders>
          </w:tcPr>
          <w:p w14:paraId="3FB4D0E7">
            <w:pPr>
              <w:jc w:val="center"/>
              <w:rPr>
                <w:rFonts w:ascii="Times New Roman" w:hAnsi="Times New Roman" w:eastAsia="宋体" w:cs="Times New Roman"/>
                <w:sz w:val="18"/>
                <w:szCs w:val="18"/>
              </w:rPr>
            </w:pPr>
            <w:r>
              <w:rPr>
                <w:rFonts w:ascii="Times New Roman" w:hAnsi="Times New Roman" w:cs="Times New Roman"/>
                <w:sz w:val="18"/>
                <w:szCs w:val="18"/>
              </w:rPr>
              <w:t>2319</w:t>
            </w:r>
          </w:p>
        </w:tc>
        <w:tc>
          <w:tcPr>
            <w:tcW w:w="1667" w:type="pct"/>
            <w:tcBorders>
              <w:top w:val="single" w:color="auto" w:sz="4" w:space="0"/>
            </w:tcBorders>
          </w:tcPr>
          <w:p w14:paraId="16BF098F">
            <w:pPr>
              <w:jc w:val="center"/>
              <w:rPr>
                <w:rFonts w:ascii="Times New Roman" w:hAnsi="Times New Roman" w:eastAsia="宋体" w:cs="Times New Roman"/>
                <w:sz w:val="18"/>
                <w:szCs w:val="18"/>
              </w:rPr>
            </w:pPr>
            <w:r>
              <w:rPr>
                <w:rFonts w:ascii="Times New Roman" w:hAnsi="Times New Roman" w:cs="Times New Roman"/>
                <w:sz w:val="18"/>
                <w:szCs w:val="18"/>
              </w:rPr>
              <w:t>2319</w:t>
            </w:r>
          </w:p>
        </w:tc>
      </w:tr>
    </w:tbl>
    <w:p w14:paraId="24E3CB92">
      <w:pPr>
        <w:ind w:firstLine="416" w:firstLineChars="200"/>
        <w:rPr>
          <w:rFonts w:ascii="Times New Roman" w:hAnsi="Times New Roman" w:cs="Times New Roman"/>
          <w:szCs w:val="21"/>
        </w:rPr>
      </w:pPr>
      <w:r>
        <w:rPr>
          <w:rFonts w:hint="eastAsia" w:ascii="Times New Roman" w:hAnsi="Times New Roman"/>
          <w:szCs w:val="21"/>
        </w:rPr>
        <w:t>2.工具变量回归</w:t>
      </w:r>
    </w:p>
    <w:p w14:paraId="52057741">
      <w:pPr>
        <w:jc w:val="center"/>
        <w:rPr>
          <w:rFonts w:ascii="Times New Roman" w:hAnsi="Times New Roman" w:eastAsia="黑体" w:cs="黑体"/>
        </w:rPr>
      </w:pPr>
      <w:r>
        <w:rPr>
          <w:rFonts w:hint="eastAsia" w:ascii="Times New Roman" w:hAnsi="Times New Roman" w:eastAsia="黑体" w:cs="黑体"/>
        </w:rPr>
        <w:t>附表2  工具变量回归</w:t>
      </w:r>
    </w:p>
    <w:tbl>
      <w:tblPr>
        <w:tblStyle w:val="6"/>
        <w:tblW w:w="4998" w:type="pct"/>
        <w:tblInd w:w="0"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2839"/>
        <w:gridCol w:w="2842"/>
        <w:gridCol w:w="2844"/>
      </w:tblGrid>
      <w:tr w14:paraId="2778E47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1665" w:type="pct"/>
            <w:vMerge w:val="restart"/>
            <w:tcBorders>
              <w:bottom w:val="single" w:color="auto" w:sz="4" w:space="0"/>
            </w:tcBorders>
            <w:vAlign w:val="center"/>
          </w:tcPr>
          <w:p w14:paraId="36BCE2F0">
            <w:pPr>
              <w:jc w:val="center"/>
              <w:rPr>
                <w:rFonts w:ascii="Times New Roman" w:hAnsi="Times New Roman" w:eastAsia="宋体" w:cs="Times New Roman"/>
                <w:sz w:val="18"/>
                <w:szCs w:val="18"/>
              </w:rPr>
            </w:pPr>
            <w:r>
              <w:rPr>
                <w:rFonts w:ascii="Times New Roman" w:hAnsi="Times New Roman" w:eastAsia="宋体" w:cs="Times New Roman"/>
                <w:sz w:val="18"/>
                <w:szCs w:val="18"/>
              </w:rPr>
              <w:t>变量</w:t>
            </w:r>
          </w:p>
        </w:tc>
        <w:tc>
          <w:tcPr>
            <w:tcW w:w="1666" w:type="pct"/>
            <w:tcBorders>
              <w:bottom w:val="single" w:color="auto" w:sz="4" w:space="0"/>
            </w:tcBorders>
            <w:vAlign w:val="center"/>
          </w:tcPr>
          <w:p w14:paraId="075AE15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1668" w:type="pct"/>
            <w:tcBorders>
              <w:bottom w:val="single" w:color="auto" w:sz="4" w:space="0"/>
            </w:tcBorders>
            <w:vAlign w:val="center"/>
          </w:tcPr>
          <w:p w14:paraId="44846DE6">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w:t>
            </w:r>
          </w:p>
        </w:tc>
      </w:tr>
      <w:tr w14:paraId="6BD7D81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1665" w:type="pct"/>
            <w:vMerge w:val="continue"/>
            <w:tcBorders>
              <w:top w:val="single" w:color="auto" w:sz="4" w:space="0"/>
              <w:bottom w:val="single" w:color="auto" w:sz="4" w:space="0"/>
            </w:tcBorders>
            <w:vAlign w:val="center"/>
          </w:tcPr>
          <w:p w14:paraId="63E1E094">
            <w:pPr>
              <w:jc w:val="center"/>
              <w:rPr>
                <w:rFonts w:ascii="Cambria Math" w:hAnsi="Cambria Math" w:eastAsia="宋体" w:cs="Times New Roman"/>
                <w:sz w:val="18"/>
                <w:szCs w:val="18"/>
                <w:oMath/>
              </w:rPr>
            </w:pPr>
          </w:p>
        </w:tc>
        <w:tc>
          <w:tcPr>
            <w:tcW w:w="1666" w:type="pct"/>
            <w:tcBorders>
              <w:top w:val="single" w:color="auto" w:sz="4" w:space="0"/>
              <w:bottom w:val="single" w:color="auto" w:sz="4" w:space="0"/>
            </w:tcBorders>
            <w:vAlign w:val="center"/>
          </w:tcPr>
          <w:p w14:paraId="6B7179CF">
            <w:pPr>
              <w:jc w:val="center"/>
              <w:rPr>
                <w:rFonts w:ascii="Times New Roman" w:hAnsi="Times New Roman" w:eastAsia="宋体" w:cs="Times New Roman"/>
                <w:sz w:val="18"/>
                <w:szCs w:val="18"/>
              </w:rPr>
            </w:pPr>
            <m:oMathPara>
              <m:oMath>
                <m:r>
                  <m:rPr/>
                  <w:rPr>
                    <w:rFonts w:ascii="Cambria Math" w:hAnsi="Cambria Math" w:cs="Times New Roman"/>
                    <w:sz w:val="18"/>
                    <w:szCs w:val="18"/>
                  </w:rPr>
                  <m:t>Landfinpost</m:t>
                </m:r>
              </m:oMath>
            </m:oMathPara>
          </w:p>
        </w:tc>
        <w:tc>
          <w:tcPr>
            <w:tcW w:w="1668" w:type="pct"/>
            <w:tcBorders>
              <w:top w:val="single" w:color="auto" w:sz="4" w:space="0"/>
              <w:bottom w:val="single" w:color="auto" w:sz="4" w:space="0"/>
            </w:tcBorders>
            <w:vAlign w:val="center"/>
          </w:tcPr>
          <w:p w14:paraId="7B5AF78D">
            <w:pPr>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Risk</w:t>
            </w:r>
          </w:p>
        </w:tc>
      </w:tr>
      <w:tr w14:paraId="72810D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1665" w:type="pct"/>
            <w:vMerge w:val="restart"/>
            <w:tcBorders>
              <w:tl2br w:val="nil"/>
              <w:tr2bl w:val="nil"/>
            </w:tcBorders>
            <w:vAlign w:val="center"/>
          </w:tcPr>
          <w:p w14:paraId="52895AD8">
            <w:pPr>
              <w:jc w:val="center"/>
              <w:rPr>
                <w:rFonts w:ascii="Times New Roman" w:hAnsi="Times New Roman" w:eastAsia="宋体" w:cs="Times New Roman"/>
                <w:sz w:val="18"/>
                <w:szCs w:val="18"/>
              </w:rPr>
            </w:pPr>
            <m:oMathPara>
              <m:oMath>
                <m:r>
                  <m:rPr/>
                  <w:rPr>
                    <w:rFonts w:ascii="Cambria Math" w:hAnsi="Cambria Math" w:eastAsia="宋体" w:cs="Times New Roman"/>
                    <w:sz w:val="18"/>
                    <w:szCs w:val="18"/>
                  </w:rPr>
                  <m:t>Lnslope</m:t>
                </m:r>
                <m:r>
                  <m:rPr/>
                  <w:rPr>
                    <w:rFonts w:ascii="Cambria Math" w:hAnsi="Cambria Math" w:eastAsia="宋体" w:cs="Times New Roman"/>
                    <w:sz w:val="18"/>
                    <w:szCs w:val="18"/>
                    <w:vertAlign w:val="subscript"/>
                  </w:rPr>
                  <m:t>×Post</m:t>
                </m:r>
              </m:oMath>
            </m:oMathPara>
          </w:p>
        </w:tc>
        <w:tc>
          <w:tcPr>
            <w:tcW w:w="1666" w:type="pct"/>
            <w:tcBorders>
              <w:tl2br w:val="nil"/>
              <w:tr2bl w:val="nil"/>
            </w:tcBorders>
            <w:vAlign w:val="center"/>
          </w:tcPr>
          <w:p w14:paraId="7A6EF9B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-2.0220</w:t>
            </w:r>
            <w:r>
              <w:rPr>
                <w:rFonts w:ascii="Times New Roman" w:hAnsi="Times New Roman" w:eastAsia="宋体" w:cs="Times New Roman"/>
                <w:sz w:val="18"/>
                <w:szCs w:val="18"/>
              </w:rPr>
              <w:t>***</w:t>
            </w:r>
          </w:p>
        </w:tc>
        <w:tc>
          <w:tcPr>
            <w:tcW w:w="1668" w:type="pct"/>
            <w:tcBorders>
              <w:tl2br w:val="nil"/>
              <w:tr2bl w:val="nil"/>
            </w:tcBorders>
            <w:vAlign w:val="center"/>
          </w:tcPr>
          <w:p w14:paraId="0E6FCFBC">
            <w:pPr>
              <w:jc w:val="center"/>
              <w:rPr>
                <w:rFonts w:ascii="Times New Roman" w:hAnsi="Times New Roman" w:eastAsia="宋体" w:cs="Times New Roman"/>
                <w:sz w:val="18"/>
                <w:szCs w:val="18"/>
              </w:rPr>
            </w:pPr>
          </w:p>
        </w:tc>
      </w:tr>
      <w:tr w14:paraId="55528D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1665" w:type="pct"/>
            <w:vMerge w:val="continue"/>
            <w:tcBorders>
              <w:tl2br w:val="nil"/>
              <w:tr2bl w:val="nil"/>
            </w:tcBorders>
            <w:vAlign w:val="center"/>
          </w:tcPr>
          <w:p w14:paraId="5BEB10E9">
            <w:pPr>
              <w:rPr>
                <w:rFonts w:ascii="Times New Roman" w:hAnsi="Times New Roman" w:eastAsia="宋体" w:cs="Times New Roman"/>
                <w:sz w:val="18"/>
                <w:szCs w:val="18"/>
              </w:rPr>
            </w:pPr>
          </w:p>
        </w:tc>
        <w:tc>
          <w:tcPr>
            <w:tcW w:w="1666" w:type="pct"/>
            <w:tcBorders>
              <w:tl2br w:val="nil"/>
              <w:tr2bl w:val="nil"/>
            </w:tcBorders>
            <w:vAlign w:val="center"/>
          </w:tcPr>
          <w:p w14:paraId="63F4B05B">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r>
              <w:rPr>
                <w:rFonts w:hint="eastAsia" w:ascii="Times New Roman" w:hAnsi="Times New Roman" w:eastAsia="宋体" w:cs="Times New Roman"/>
                <w:sz w:val="18"/>
                <w:szCs w:val="18"/>
              </w:rPr>
              <w:t>4650</w:t>
            </w:r>
            <w:r>
              <w:rPr>
                <w:rFonts w:ascii="Times New Roman" w:hAnsi="Times New Roman" w:eastAsia="宋体" w:cs="Times New Roman"/>
                <w:sz w:val="18"/>
                <w:szCs w:val="18"/>
              </w:rPr>
              <w:t>)</w:t>
            </w:r>
          </w:p>
        </w:tc>
        <w:tc>
          <w:tcPr>
            <w:tcW w:w="1668" w:type="pct"/>
            <w:tcBorders>
              <w:tl2br w:val="nil"/>
              <w:tr2bl w:val="nil"/>
            </w:tcBorders>
            <w:vAlign w:val="center"/>
          </w:tcPr>
          <w:p w14:paraId="3D1E7A9C">
            <w:pPr>
              <w:jc w:val="center"/>
              <w:rPr>
                <w:rFonts w:ascii="Times New Roman" w:hAnsi="Times New Roman" w:eastAsia="宋体" w:cs="Times New Roman"/>
                <w:sz w:val="18"/>
                <w:szCs w:val="18"/>
              </w:rPr>
            </w:pPr>
          </w:p>
        </w:tc>
      </w:tr>
      <w:tr w14:paraId="75ED81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1665" w:type="pct"/>
            <w:vMerge w:val="restart"/>
            <w:tcBorders>
              <w:tl2br w:val="nil"/>
              <w:tr2bl w:val="nil"/>
            </w:tcBorders>
            <w:vAlign w:val="center"/>
          </w:tcPr>
          <w:p w14:paraId="5B0D8D73">
            <w:pPr>
              <w:jc w:val="center"/>
              <w:rPr>
                <w:rFonts w:ascii="Times New Roman" w:hAnsi="Times New Roman" w:eastAsia="宋体" w:cs="Times New Roman"/>
                <w:sz w:val="18"/>
                <w:szCs w:val="18"/>
              </w:rPr>
            </w:pPr>
            <m:oMathPara>
              <m:oMath>
                <m:acc>
                  <m:accPr>
                    <m:ctrlPr>
                      <w:rPr>
                        <w:rFonts w:ascii="Cambria Math" w:hAnsi="Cambria Math" w:cs="Times New Roman"/>
                        <w:i/>
                        <w:sz w:val="18"/>
                        <w:szCs w:val="18"/>
                      </w:rPr>
                    </m:ctrlPr>
                  </m:accPr>
                  <m:e>
                    <m:r>
                      <m:rPr/>
                      <w:rPr>
                        <w:rFonts w:ascii="Cambria Math" w:hAnsi="Cambria Math" w:cs="Times New Roman"/>
                        <w:sz w:val="18"/>
                        <w:szCs w:val="18"/>
                      </w:rPr>
                      <m:t>Landfinpost</m:t>
                    </m:r>
                    <m:ctrlPr>
                      <w:rPr>
                        <w:rFonts w:ascii="Cambria Math" w:hAnsi="Cambria Math" w:cs="Times New Roman"/>
                        <w:i/>
                        <w:sz w:val="18"/>
                        <w:szCs w:val="18"/>
                      </w:rPr>
                    </m:ctrlPr>
                  </m:e>
                </m:acc>
              </m:oMath>
            </m:oMathPara>
          </w:p>
        </w:tc>
        <w:tc>
          <w:tcPr>
            <w:tcW w:w="1666" w:type="pct"/>
            <w:tcBorders>
              <w:tl2br w:val="nil"/>
              <w:tr2bl w:val="nil"/>
            </w:tcBorders>
            <w:vAlign w:val="center"/>
          </w:tcPr>
          <w:p w14:paraId="31F86133">
            <w:pPr>
              <w:jc w:val="center"/>
              <w:rPr>
                <w:rFonts w:ascii="Times New Roman" w:hAnsi="Times New Roman" w:eastAsia="宋体" w:cs="Times New Roman"/>
                <w:sz w:val="18"/>
                <w:szCs w:val="18"/>
              </w:rPr>
            </w:pPr>
          </w:p>
        </w:tc>
        <w:tc>
          <w:tcPr>
            <w:tcW w:w="1668" w:type="pct"/>
            <w:tcBorders>
              <w:tl2br w:val="nil"/>
              <w:tr2bl w:val="nil"/>
            </w:tcBorders>
            <w:vAlign w:val="center"/>
          </w:tcPr>
          <w:p w14:paraId="20B5B500">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0.7222</w:t>
            </w:r>
            <w:r>
              <w:rPr>
                <w:rFonts w:ascii="Times New Roman" w:hAnsi="Times New Roman" w:eastAsia="宋体" w:cs="Times New Roman"/>
                <w:sz w:val="18"/>
                <w:szCs w:val="18"/>
              </w:rPr>
              <w:t>***</w:t>
            </w:r>
          </w:p>
        </w:tc>
      </w:tr>
      <w:tr w14:paraId="49233B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1665" w:type="pct"/>
            <w:vMerge w:val="continue"/>
            <w:tcBorders>
              <w:tl2br w:val="nil"/>
              <w:tr2bl w:val="nil"/>
            </w:tcBorders>
            <w:vAlign w:val="center"/>
          </w:tcPr>
          <w:p w14:paraId="3399E6F9">
            <w:pPr>
              <w:jc w:val="center"/>
              <w:rPr>
                <w:rFonts w:ascii="Times New Roman" w:hAnsi="Times New Roman" w:eastAsia="宋体" w:cs="Times New Roman"/>
                <w:sz w:val="18"/>
                <w:szCs w:val="18"/>
              </w:rPr>
            </w:pPr>
          </w:p>
        </w:tc>
        <w:tc>
          <w:tcPr>
            <w:tcW w:w="1666" w:type="pct"/>
            <w:tcBorders>
              <w:tl2br w:val="nil"/>
              <w:tr2bl w:val="nil"/>
            </w:tcBorders>
            <w:vAlign w:val="center"/>
          </w:tcPr>
          <w:p w14:paraId="323EB334">
            <w:pPr>
              <w:jc w:val="center"/>
              <w:rPr>
                <w:rFonts w:ascii="Times New Roman" w:hAnsi="Times New Roman" w:eastAsia="宋体" w:cs="Times New Roman"/>
                <w:sz w:val="18"/>
                <w:szCs w:val="18"/>
              </w:rPr>
            </w:pPr>
          </w:p>
        </w:tc>
        <w:tc>
          <w:tcPr>
            <w:tcW w:w="1668" w:type="pct"/>
            <w:tcBorders>
              <w:tl2br w:val="nil"/>
              <w:tr2bl w:val="nil"/>
            </w:tcBorders>
            <w:vAlign w:val="center"/>
          </w:tcPr>
          <w:p w14:paraId="2A6D9614">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r>
              <w:rPr>
                <w:rFonts w:hint="eastAsia" w:ascii="Times New Roman" w:hAnsi="Times New Roman" w:eastAsia="宋体" w:cs="Times New Roman"/>
                <w:sz w:val="18"/>
                <w:szCs w:val="18"/>
              </w:rPr>
              <w:t>1471</w:t>
            </w:r>
            <w:r>
              <w:rPr>
                <w:rFonts w:ascii="Times New Roman" w:hAnsi="Times New Roman" w:eastAsia="宋体" w:cs="Times New Roman"/>
                <w:sz w:val="18"/>
                <w:szCs w:val="18"/>
              </w:rPr>
              <w:t>)</w:t>
            </w:r>
          </w:p>
        </w:tc>
      </w:tr>
      <w:tr w14:paraId="27A9BD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1665" w:type="pct"/>
            <w:tcBorders>
              <w:tl2br w:val="nil"/>
              <w:tr2bl w:val="nil"/>
            </w:tcBorders>
            <w:vAlign w:val="center"/>
          </w:tcPr>
          <w:p w14:paraId="67C0E74B">
            <w:pPr>
              <w:jc w:val="center"/>
              <w:rPr>
                <w:rFonts w:ascii="Times New Roman" w:hAnsi="Times New Roman" w:eastAsia="宋体" w:cs="Times New Roman"/>
                <w:sz w:val="18"/>
                <w:szCs w:val="18"/>
              </w:rPr>
            </w:pPr>
            <w:r>
              <w:rPr>
                <w:rFonts w:ascii="Times New Roman" w:hAnsi="Times New Roman" w:eastAsia="宋体" w:cs="Times New Roman"/>
                <w:sz w:val="18"/>
                <w:szCs w:val="18"/>
              </w:rPr>
              <w:t>控制变量</w:t>
            </w:r>
          </w:p>
        </w:tc>
        <w:tc>
          <w:tcPr>
            <w:tcW w:w="1666" w:type="pct"/>
            <w:tcBorders>
              <w:tl2br w:val="nil"/>
              <w:tr2bl w:val="nil"/>
            </w:tcBorders>
            <w:shd w:val="clear" w:color="auto" w:fill="auto"/>
            <w:vAlign w:val="center"/>
          </w:tcPr>
          <w:p w14:paraId="6E7623A7">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668" w:type="pct"/>
            <w:tcBorders>
              <w:tl2br w:val="nil"/>
              <w:tr2bl w:val="nil"/>
            </w:tcBorders>
            <w:shd w:val="clear" w:color="auto" w:fill="auto"/>
            <w:vAlign w:val="center"/>
          </w:tcPr>
          <w:p w14:paraId="45429DBA">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r>
      <w:tr w14:paraId="660B10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1665" w:type="pct"/>
            <w:tcBorders>
              <w:tl2br w:val="nil"/>
              <w:tr2bl w:val="nil"/>
            </w:tcBorders>
            <w:vAlign w:val="center"/>
          </w:tcPr>
          <w:p w14:paraId="35D0909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城市、年份</w:t>
            </w:r>
            <w:r>
              <w:rPr>
                <w:rFonts w:ascii="Times New Roman" w:hAnsi="Times New Roman" w:eastAsia="宋体" w:cs="Times New Roman"/>
                <w:sz w:val="18"/>
                <w:szCs w:val="18"/>
              </w:rPr>
              <w:t>效应</w:t>
            </w:r>
          </w:p>
        </w:tc>
        <w:tc>
          <w:tcPr>
            <w:tcW w:w="1666" w:type="pct"/>
            <w:tcBorders>
              <w:tl2br w:val="nil"/>
              <w:tr2bl w:val="nil"/>
            </w:tcBorders>
            <w:shd w:val="clear" w:color="auto" w:fill="auto"/>
            <w:vAlign w:val="center"/>
          </w:tcPr>
          <w:p w14:paraId="1D4895C1">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668" w:type="pct"/>
            <w:tcBorders>
              <w:tl2br w:val="nil"/>
              <w:tr2bl w:val="nil"/>
            </w:tcBorders>
            <w:shd w:val="clear" w:color="auto" w:fill="auto"/>
            <w:vAlign w:val="center"/>
          </w:tcPr>
          <w:p w14:paraId="04A5C1DE">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r>
      <w:tr w14:paraId="70AA96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1665" w:type="pct"/>
            <w:tcBorders>
              <w:bottom w:val="single" w:color="auto" w:sz="4" w:space="0"/>
              <w:tl2br w:val="nil"/>
              <w:tr2bl w:val="nil"/>
            </w:tcBorders>
            <w:shd w:val="clear" w:color="auto" w:fill="auto"/>
            <w:vAlign w:val="center"/>
          </w:tcPr>
          <w:p w14:paraId="517E4693">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一阶段F值</w:t>
            </w:r>
          </w:p>
        </w:tc>
        <w:tc>
          <w:tcPr>
            <w:tcW w:w="1667" w:type="pct"/>
            <w:tcBorders>
              <w:bottom w:val="single" w:color="auto" w:sz="4" w:space="0"/>
              <w:tl2br w:val="nil"/>
              <w:tr2bl w:val="nil"/>
            </w:tcBorders>
            <w:shd w:val="clear" w:color="auto" w:fill="auto"/>
            <w:vAlign w:val="center"/>
          </w:tcPr>
          <w:p w14:paraId="746649FE">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18.912</w:t>
            </w:r>
          </w:p>
        </w:tc>
        <w:tc>
          <w:tcPr>
            <w:tcW w:w="1667" w:type="pct"/>
            <w:tcBorders>
              <w:bottom w:val="single" w:color="auto" w:sz="4" w:space="0"/>
              <w:tl2br w:val="nil"/>
              <w:tr2bl w:val="nil"/>
            </w:tcBorders>
            <w:shd w:val="clear" w:color="auto" w:fill="auto"/>
            <w:vAlign w:val="center"/>
          </w:tcPr>
          <w:p w14:paraId="13319840">
            <w:pPr>
              <w:jc w:val="center"/>
              <w:rPr>
                <w:rFonts w:ascii="Times New Roman" w:hAnsi="Times New Roman" w:eastAsia="宋体" w:cs="Times New Roman"/>
                <w:sz w:val="18"/>
                <w:szCs w:val="18"/>
              </w:rPr>
            </w:pPr>
          </w:p>
        </w:tc>
      </w:tr>
      <w:tr w14:paraId="72496E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1665" w:type="pct"/>
            <w:tcBorders>
              <w:top w:val="single" w:color="auto" w:sz="4" w:space="0"/>
              <w:bottom w:val="single" w:color="auto" w:sz="4" w:space="0"/>
            </w:tcBorders>
            <w:shd w:val="clear" w:color="auto" w:fill="auto"/>
            <w:vAlign w:val="center"/>
          </w:tcPr>
          <w:p w14:paraId="5B51499E">
            <w:pPr>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N</w:t>
            </w:r>
          </w:p>
        </w:tc>
        <w:tc>
          <w:tcPr>
            <w:tcW w:w="1667" w:type="pct"/>
            <w:tcBorders>
              <w:top w:val="single" w:color="auto" w:sz="4" w:space="0"/>
              <w:bottom w:val="single" w:color="auto" w:sz="4" w:space="0"/>
            </w:tcBorders>
            <w:shd w:val="clear" w:color="auto" w:fill="auto"/>
            <w:vAlign w:val="center"/>
          </w:tcPr>
          <w:p w14:paraId="58820EA2">
            <w:pPr>
              <w:jc w:val="center"/>
              <w:rPr>
                <w:rFonts w:ascii="Times New Roman" w:hAnsi="Times New Roman" w:eastAsia="宋体" w:cs="Times New Roman"/>
                <w:sz w:val="18"/>
                <w:szCs w:val="18"/>
              </w:rPr>
            </w:pPr>
            <w:r>
              <w:rPr>
                <w:rFonts w:ascii="Times New Roman" w:hAnsi="Times New Roman" w:eastAsia="宋体" w:cs="Times New Roman"/>
                <w:sz w:val="18"/>
                <w:szCs w:val="18"/>
              </w:rPr>
              <w:t>2</w:t>
            </w:r>
            <w:r>
              <w:rPr>
                <w:rFonts w:hint="eastAsia" w:ascii="Times New Roman" w:hAnsi="Times New Roman" w:eastAsia="宋体" w:cs="Times New Roman"/>
                <w:sz w:val="18"/>
                <w:szCs w:val="18"/>
              </w:rPr>
              <w:t>312</w:t>
            </w:r>
          </w:p>
        </w:tc>
        <w:tc>
          <w:tcPr>
            <w:tcW w:w="1667" w:type="pct"/>
            <w:tcBorders>
              <w:top w:val="single" w:color="auto" w:sz="4" w:space="0"/>
              <w:bottom w:val="single" w:color="auto" w:sz="4" w:space="0"/>
            </w:tcBorders>
            <w:shd w:val="clear" w:color="auto" w:fill="auto"/>
            <w:vAlign w:val="center"/>
          </w:tcPr>
          <w:p w14:paraId="10784DB2">
            <w:pPr>
              <w:jc w:val="center"/>
              <w:rPr>
                <w:rFonts w:ascii="Times New Roman" w:hAnsi="Times New Roman" w:eastAsia="宋体" w:cs="Times New Roman"/>
                <w:sz w:val="18"/>
                <w:szCs w:val="18"/>
              </w:rPr>
            </w:pPr>
            <w:r>
              <w:rPr>
                <w:rFonts w:ascii="Times New Roman" w:hAnsi="Times New Roman" w:eastAsia="宋体" w:cs="Times New Roman"/>
                <w:sz w:val="18"/>
                <w:szCs w:val="18"/>
              </w:rPr>
              <w:t>2</w:t>
            </w:r>
            <w:r>
              <w:rPr>
                <w:rFonts w:hint="eastAsia" w:ascii="Times New Roman" w:hAnsi="Times New Roman" w:eastAsia="宋体" w:cs="Times New Roman"/>
                <w:sz w:val="18"/>
                <w:szCs w:val="18"/>
              </w:rPr>
              <w:t>312</w:t>
            </w:r>
          </w:p>
        </w:tc>
      </w:tr>
    </w:tbl>
    <w:p w14:paraId="06182749">
      <w:pPr>
        <w:widowControl/>
        <w:ind w:firstLine="416" w:firstLineChars="200"/>
        <w:jc w:val="both"/>
        <w:rPr>
          <w:rFonts w:ascii="Times New Roman" w:hAnsi="Times New Roman" w:cs="Times New Roman"/>
          <w:iCs/>
        </w:rPr>
      </w:pPr>
      <w:r>
        <w:rPr>
          <w:rFonts w:hint="eastAsia" w:ascii="Times New Roman" w:hAnsi="Times New Roman"/>
          <w:szCs w:val="21"/>
        </w:rPr>
        <w:t>3.使用虚拟变量衡量城市土地金融程度。</w:t>
      </w:r>
      <w:r>
        <w:rPr>
          <w:rFonts w:hint="eastAsia" w:ascii="Times New Roman" w:hAnsi="Times New Roman"/>
        </w:rPr>
        <w:t>除了强度DID回归，本文还更换分组策略，使用虚拟变量衡量土地金融程度，</w:t>
      </w:r>
      <w:r>
        <w:rPr>
          <w:rFonts w:ascii="Times New Roman" w:hAnsi="Times New Roman" w:cs="Times New Roman"/>
        </w:rPr>
        <w:t>对基准回归进行稳健性检验。</w:t>
      </w:r>
      <w:r>
        <w:rPr>
          <w:rFonts w:hint="eastAsia" w:ascii="Times New Roman" w:hAnsi="Times New Roman" w:cs="Times New Roman"/>
        </w:rPr>
        <w:t>如果城市</w:t>
      </w:r>
      <w:r>
        <w:rPr>
          <w:rFonts w:ascii="Times New Roman" w:hAnsi="Times New Roman" w:cs="Times New Roman"/>
        </w:rPr>
        <w:t>2016年融资平台有息债务余额大于0</w:t>
      </w:r>
      <w:r>
        <w:rPr>
          <w:rFonts w:hint="eastAsia" w:ascii="Times New Roman" w:hAnsi="Times New Roman" w:cs="Times New Roman"/>
        </w:rPr>
        <w:t>，说明地方政府经由融资平台以土地金融模式进行举债，会受到土地融资模式转变影响，该类</w:t>
      </w:r>
      <w:r>
        <w:rPr>
          <w:rFonts w:ascii="Times New Roman" w:hAnsi="Times New Roman" w:cs="Times New Roman"/>
        </w:rPr>
        <w:t>城市归为处理组，</w:t>
      </w:r>
      <m:oMath>
        <m:r>
          <m:rPr/>
          <w:rPr>
            <w:rFonts w:ascii="Cambria Math" w:hAnsi="Cambria Math" w:cs="Times New Roman"/>
          </w:rPr>
          <m:t>Treat</m:t>
        </m:r>
      </m:oMath>
      <w:r>
        <w:rPr>
          <w:rFonts w:ascii="Times New Roman" w:hAnsi="Times New Roman" w:cs="Times New Roman"/>
          <w:iCs/>
        </w:rPr>
        <w:t>赋值为1，</w:t>
      </w:r>
      <w:r>
        <w:rPr>
          <w:rFonts w:hint="eastAsia" w:ascii="Times New Roman" w:hAnsi="Times New Roman" w:cs="Times New Roman"/>
          <w:iCs/>
        </w:rPr>
        <w:t>其余城市归为对照组，</w:t>
      </w:r>
      <m:oMath>
        <m:r>
          <m:rPr/>
          <w:rPr>
            <w:rFonts w:ascii="Cambria Math" w:hAnsi="Cambria Math" w:cs="Times New Roman"/>
          </w:rPr>
          <m:t>Treat</m:t>
        </m:r>
      </m:oMath>
      <w:r>
        <w:rPr>
          <w:rFonts w:ascii="Times New Roman" w:hAnsi="Times New Roman" w:cs="Times New Roman"/>
          <w:iCs/>
        </w:rPr>
        <w:t>赋值为0</w:t>
      </w:r>
      <w:r>
        <w:rPr>
          <w:rFonts w:hint="eastAsia" w:ascii="Times New Roman" w:hAnsi="Times New Roman" w:cs="Times New Roman"/>
          <w:iCs/>
        </w:rPr>
        <w:t>。利用式（1）进行回归，</w:t>
      </w:r>
      <w:r>
        <w:rPr>
          <w:rFonts w:hint="eastAsia" w:ascii="Times New Roman" w:hAnsi="Times New Roman" w:cs="Times New Roman"/>
          <w:szCs w:val="21"/>
        </w:rPr>
        <w:t>附表3</w:t>
      </w:r>
      <w:r>
        <w:rPr>
          <w:rFonts w:hint="eastAsia" w:ascii="Times New Roman" w:hAnsi="Times New Roman" w:cs="Times New Roman"/>
          <w:iCs/>
        </w:rPr>
        <w:t>行（1）回归结果显示，</w:t>
      </w:r>
      <m:oMath>
        <m:r>
          <m:rPr/>
          <w:rPr>
            <w:rFonts w:ascii="Cambria Math" w:hAnsi="Cambria Math" w:eastAsia="仿宋" w:cs="Times New Roman"/>
            <w:szCs w:val="21"/>
          </w:rPr>
          <m:t>Treat×Post</m:t>
        </m:r>
      </m:oMath>
      <w:r>
        <w:rPr>
          <w:rFonts w:hint="eastAsia" w:ascii="Times New Roman" w:hAnsi="Times New Roman" w:cs="Times New Roman"/>
        </w:rPr>
        <w:t>的系数</w:t>
      </w:r>
      <w:r>
        <w:rPr>
          <w:rFonts w:hint="eastAsia" w:ascii="Times New Roman" w:hAnsi="Times New Roman" w:cs="Times New Roman"/>
          <w:lang w:val="en-US" w:eastAsia="zh-CN"/>
        </w:rPr>
        <w:t>在1%水平上</w:t>
      </w:r>
      <w:r>
        <w:rPr>
          <w:rFonts w:hint="eastAsia" w:ascii="Times New Roman" w:hAnsi="Times New Roman" w:cs="Times New Roman"/>
        </w:rPr>
        <w:t>显著为正，说明土地融资模式转变显著降低了处理组城市土地债务风险，基准回归结论在离散型双重差分模型设定下稳健成立。</w:t>
      </w:r>
    </w:p>
    <w:p w14:paraId="67A7C34E">
      <w:pPr>
        <w:widowControl/>
        <w:ind w:firstLine="416" w:firstLineChars="200"/>
        <w:rPr>
          <w:rFonts w:ascii="Times New Roman" w:hAnsi="Times New Roman" w:cs="Times New Roman"/>
          <w:szCs w:val="21"/>
        </w:rPr>
      </w:pPr>
      <w:r>
        <w:rPr>
          <w:rFonts w:hint="eastAsia" w:ascii="Times New Roman" w:hAnsi="Times New Roman"/>
          <w:szCs w:val="21"/>
        </w:rPr>
        <w:t>4.改变城市土地金融累积程度衡量方式。</w:t>
      </w:r>
      <w:r>
        <w:rPr>
          <w:rFonts w:hint="eastAsia" w:ascii="Times New Roman" w:hAnsi="Times New Roman" w:cs="Times New Roman"/>
          <w:szCs w:val="21"/>
        </w:rPr>
        <w:t>本文通过两种方式改变城市土地金融累积程度衡量方式，检验基准回归结果的稳健性。第一，采用城市2016年融资平台有息债务余额占GDP比重等相对指标衡量，消除不同城市经济发展水平差异。分别采用城市2016年融资平台有息债务余额占GDP比重（</w:t>
      </w:r>
      <m:oMath>
        <m:r>
          <m:rPr/>
          <w:rPr>
            <w:rFonts w:ascii="Cambria Math" w:hAnsi="Cambria Math" w:cs="Times New Roman"/>
            <w:szCs w:val="21"/>
          </w:rPr>
          <m:t>Landfingdp</m:t>
        </m:r>
      </m:oMath>
      <w:r>
        <w:rPr>
          <w:rFonts w:hint="eastAsia" w:ascii="Times New Roman" w:hAnsi="Times New Roman" w:cs="Times New Roman"/>
          <w:szCs w:val="21"/>
        </w:rPr>
        <w:t>）、城市2016年融资平台有息债务余额占一般公共预算支出比重（</w:t>
      </w:r>
      <m:oMath>
        <m:r>
          <m:rPr/>
          <w:rPr>
            <w:rFonts w:ascii="Cambria Math" w:hAnsi="Cambria Math" w:cs="Times New Roman"/>
            <w:szCs w:val="21"/>
          </w:rPr>
          <m:t>Landfinbud</m:t>
        </m:r>
      </m:oMath>
      <w:r>
        <w:rPr>
          <w:rFonts w:hint="eastAsia" w:ascii="Times New Roman" w:hAnsi="Times New Roman" w:cs="Times New Roman"/>
          <w:szCs w:val="21"/>
        </w:rPr>
        <w:t>）和人均城市2016年融资平台有息债务余额对数（</w:t>
      </w:r>
      <m:oMath>
        <m:r>
          <m:rPr/>
          <w:rPr>
            <w:rFonts w:ascii="Cambria Math" w:hAnsi="Cambria Math" w:cs="Times New Roman"/>
            <w:szCs w:val="21"/>
          </w:rPr>
          <m:t>Landfinpop</m:t>
        </m:r>
      </m:oMath>
      <w:r>
        <w:rPr>
          <w:rFonts w:hint="eastAsia" w:ascii="Times New Roman" w:hAnsi="Times New Roman" w:cs="Times New Roman"/>
          <w:szCs w:val="21"/>
        </w:rPr>
        <w:t>）衡量城市土地金融累积程度，将其作为强度变量与</w:t>
      </w:r>
      <w:r>
        <w:rPr>
          <w:rFonts w:hint="eastAsia" w:ascii="Times New Roman" w:hAnsi="Times New Roman" w:cs="Times New Roman"/>
          <w:i/>
          <w:iCs/>
          <w:szCs w:val="21"/>
        </w:rPr>
        <w:t>Post</w:t>
      </w:r>
      <w:r>
        <w:rPr>
          <w:rFonts w:hint="eastAsia" w:ascii="Times New Roman" w:hAnsi="Times New Roman" w:cs="Times New Roman"/>
          <w:szCs w:val="21"/>
        </w:rPr>
        <w:t>相乘构成新的交互项，附表3行（2）</w:t>
      </w:r>
      <w:r>
        <w:rPr>
          <w:rFonts w:hint="eastAsia" w:ascii="Times New Roman" w:hAnsi="Times New Roman" w:cs="Times New Roman"/>
          <w:szCs w:val="21"/>
          <w:lang w:val="en-US" w:eastAsia="zh-CN"/>
        </w:rPr>
        <w:t>-</w:t>
      </w:r>
      <w:r>
        <w:rPr>
          <w:rFonts w:hint="eastAsia" w:ascii="Times New Roman" w:hAnsi="Times New Roman" w:cs="Times New Roman"/>
          <w:szCs w:val="21"/>
        </w:rPr>
        <w:t>（4）</w:t>
      </w:r>
      <w:r>
        <w:rPr>
          <w:rFonts w:hint="eastAsia" w:ascii="Times New Roman" w:hAnsi="Times New Roman" w:cs="Times New Roman"/>
          <w:szCs w:val="21"/>
          <w:lang w:val="en-US" w:eastAsia="zh-CN"/>
        </w:rPr>
        <w:t>回归</w:t>
      </w:r>
      <w:r>
        <w:rPr>
          <w:rFonts w:hint="eastAsia" w:ascii="Times New Roman" w:hAnsi="Times New Roman" w:cs="Times New Roman"/>
          <w:szCs w:val="21"/>
        </w:rPr>
        <w:t>结果显示，交互项系数均显著为正，说明土地融资模式转变显著降低了地方政府的土地债务风险，土地融资模式转变之前，融资平台有息债务余额占比越大的城市，其受到影响越大。第二，采用土地融资模式转变之前，融资平台有息债务余额的均值衡量，以消除城市土地金融累积程度在不同年份间的波动。分别采用2015</w:t>
      </w:r>
      <w:r>
        <w:rPr>
          <w:rFonts w:hint="eastAsia" w:ascii="Times New Roman" w:hAnsi="Times New Roman" w:cs="Times New Roman"/>
          <w:szCs w:val="21"/>
          <w:lang w:val="en-US" w:eastAsia="zh-CN"/>
        </w:rPr>
        <w:t>-</w:t>
      </w:r>
      <w:r>
        <w:rPr>
          <w:rFonts w:hint="eastAsia" w:ascii="Times New Roman" w:hAnsi="Times New Roman" w:cs="Times New Roman"/>
          <w:szCs w:val="21"/>
        </w:rPr>
        <w:t>2016年、2014</w:t>
      </w:r>
      <w:r>
        <w:rPr>
          <w:rFonts w:hint="eastAsia" w:ascii="Times New Roman" w:hAnsi="Times New Roman" w:cs="Times New Roman"/>
          <w:szCs w:val="21"/>
          <w:lang w:val="en-US" w:eastAsia="zh-CN"/>
        </w:rPr>
        <w:t>-</w:t>
      </w:r>
      <w:r>
        <w:rPr>
          <w:rFonts w:hint="eastAsia" w:ascii="Times New Roman" w:hAnsi="Times New Roman" w:cs="Times New Roman"/>
          <w:szCs w:val="21"/>
        </w:rPr>
        <w:t>2016年、2013</w:t>
      </w:r>
      <w:r>
        <w:rPr>
          <w:rFonts w:hint="eastAsia" w:ascii="Times New Roman" w:hAnsi="Times New Roman" w:cs="Times New Roman"/>
          <w:szCs w:val="21"/>
          <w:lang w:val="en-US" w:eastAsia="zh-CN"/>
        </w:rPr>
        <w:t>-</w:t>
      </w:r>
      <w:r>
        <w:rPr>
          <w:rFonts w:hint="eastAsia" w:ascii="Times New Roman" w:hAnsi="Times New Roman" w:cs="Times New Roman"/>
          <w:szCs w:val="21"/>
        </w:rPr>
        <w:t>2016年以及2012</w:t>
      </w:r>
      <w:r>
        <w:rPr>
          <w:rFonts w:hint="eastAsia" w:ascii="Times New Roman" w:hAnsi="Times New Roman" w:cs="Times New Roman"/>
          <w:szCs w:val="21"/>
          <w:lang w:val="en-US" w:eastAsia="zh-CN"/>
        </w:rPr>
        <w:t>-</w:t>
      </w:r>
      <w:r>
        <w:rPr>
          <w:rFonts w:hint="eastAsia" w:ascii="Times New Roman" w:hAnsi="Times New Roman" w:cs="Times New Roman"/>
          <w:szCs w:val="21"/>
        </w:rPr>
        <w:t>2016年城市融资平台有息债务余额的均值（</w:t>
      </w:r>
      <m:oMath>
        <m:r>
          <m:rPr/>
          <w:rPr>
            <w:rFonts w:hint="default" w:ascii="Cambria Math" w:hAnsi="Times New Roman" w:cs="Times New Roman"/>
            <w:szCs w:val="21"/>
            <w:lang w:val="en-US" w:eastAsia="zh-CN"/>
          </w:rPr>
          <m:t>M2</m:t>
        </m:r>
        <m:r>
          <m:rPr/>
          <w:rPr>
            <w:rFonts w:ascii="Cambria Math" w:hAnsi="Cambria Math" w:cs="Times New Roman"/>
            <w:szCs w:val="21"/>
          </w:rPr>
          <m:t>Landfin</m:t>
        </m:r>
      </m:oMath>
      <w:r>
        <w:rPr>
          <w:rFonts w:hint="eastAsia" w:ascii="Times New Roman" w:hAnsi="Times New Roman" w:cs="Times New Roman"/>
          <w:i/>
          <w:iCs/>
          <w:szCs w:val="21"/>
        </w:rPr>
        <w:t>、</w:t>
      </w:r>
      <m:oMath>
        <m:r>
          <m:rPr/>
          <w:rPr>
            <w:rFonts w:hint="default" w:ascii="Cambria Math" w:hAnsi="Times New Roman" w:cs="Times New Roman"/>
            <w:szCs w:val="21"/>
            <w:lang w:val="en-US" w:eastAsia="zh-CN"/>
          </w:rPr>
          <m:t>M3</m:t>
        </m:r>
        <m:r>
          <m:rPr/>
          <w:rPr>
            <w:rFonts w:ascii="Cambria Math" w:hAnsi="Cambria Math" w:cs="Times New Roman"/>
            <w:szCs w:val="21"/>
          </w:rPr>
          <m:t>Landfin</m:t>
        </m:r>
      </m:oMath>
      <w:r>
        <w:rPr>
          <w:rFonts w:hint="eastAsia" w:ascii="Times New Roman" w:hAnsi="Times New Roman" w:cs="Times New Roman"/>
          <w:i/>
          <w:iCs/>
          <w:szCs w:val="21"/>
        </w:rPr>
        <w:t>、</w:t>
      </w:r>
      <m:oMath>
        <m:r>
          <m:rPr/>
          <w:rPr>
            <w:rFonts w:hint="default" w:ascii="Cambria Math" w:hAnsi="Times New Roman" w:cs="Times New Roman"/>
            <w:szCs w:val="21"/>
            <w:lang w:val="en-US" w:eastAsia="zh-CN"/>
          </w:rPr>
          <m:t>M4</m:t>
        </m:r>
        <m:r>
          <m:rPr/>
          <w:rPr>
            <w:rFonts w:ascii="Cambria Math" w:hAnsi="Cambria Math" w:cs="Times New Roman"/>
            <w:szCs w:val="21"/>
          </w:rPr>
          <m:t>Landfin</m:t>
        </m:r>
      </m:oMath>
      <w:r>
        <w:rPr>
          <w:rFonts w:hint="eastAsia" w:ascii="Times New Roman" w:hAnsi="Times New Roman" w:cs="Times New Roman"/>
          <w:i/>
          <w:iCs/>
          <w:szCs w:val="21"/>
        </w:rPr>
        <w:t>、</w:t>
      </w:r>
      <w:r>
        <w:rPr>
          <w:rFonts w:hint="eastAsia" w:ascii="Times New Roman" w:hAnsi="Times New Roman" w:cs="Times New Roman"/>
          <w:i/>
          <w:iCs/>
          <w:szCs w:val="21"/>
          <w:lang w:val="en-US" w:eastAsia="zh-CN"/>
        </w:rPr>
        <w:t>M5</w:t>
      </w:r>
      <m:oMath>
        <m:r>
          <m:rPr/>
          <w:rPr>
            <w:rFonts w:ascii="Cambria Math" w:hAnsi="Cambria Math" w:cs="Times New Roman"/>
            <w:szCs w:val="21"/>
          </w:rPr>
          <m:t>Landfin</m:t>
        </m:r>
      </m:oMath>
      <w:r>
        <w:rPr>
          <w:rFonts w:hint="eastAsia" w:ascii="Times New Roman" w:hAnsi="Times New Roman" w:cs="Times New Roman"/>
          <w:szCs w:val="21"/>
        </w:rPr>
        <w:t>）衡量城市土地金融累积程度，将其作为强度变量与</w:t>
      </w:r>
      <w:r>
        <w:rPr>
          <w:rFonts w:hint="eastAsia" w:ascii="Times New Roman" w:hAnsi="Times New Roman" w:cs="Times New Roman"/>
          <w:i/>
          <w:iCs/>
          <w:szCs w:val="21"/>
        </w:rPr>
        <w:t>Post</w:t>
      </w:r>
      <w:r>
        <w:rPr>
          <w:rFonts w:hint="eastAsia" w:ascii="Times New Roman" w:hAnsi="Times New Roman" w:cs="Times New Roman"/>
          <w:szCs w:val="21"/>
        </w:rPr>
        <w:t>相乘构成新的交互项，附表3行（5）</w:t>
      </w:r>
      <w:r>
        <w:rPr>
          <w:rFonts w:hint="eastAsia" w:ascii="Times New Roman" w:hAnsi="Times New Roman" w:cs="Times New Roman"/>
          <w:szCs w:val="21"/>
          <w:lang w:val="en-US" w:eastAsia="zh-CN"/>
        </w:rPr>
        <w:t>-</w:t>
      </w:r>
      <w:r>
        <w:rPr>
          <w:rFonts w:hint="eastAsia" w:ascii="Times New Roman" w:hAnsi="Times New Roman" w:cs="Times New Roman"/>
          <w:szCs w:val="21"/>
        </w:rPr>
        <w:t>（8）</w:t>
      </w:r>
      <w:r>
        <w:rPr>
          <w:rFonts w:hint="eastAsia" w:ascii="Times New Roman" w:hAnsi="Times New Roman" w:cs="Times New Roman"/>
          <w:szCs w:val="21"/>
          <w:lang w:val="en-US" w:eastAsia="zh-CN"/>
        </w:rPr>
        <w:t>回归</w:t>
      </w:r>
      <w:r>
        <w:rPr>
          <w:rFonts w:hint="eastAsia" w:ascii="Times New Roman" w:hAnsi="Times New Roman" w:cs="Times New Roman"/>
          <w:szCs w:val="21"/>
        </w:rPr>
        <w:t>结果表明，交互项系数均显著为正，证实了基准回归结论的稳健性，说明基准回归结果不受融资平台有息债务余额波动的影响。</w:t>
      </w:r>
    </w:p>
    <w:p w14:paraId="29FC727C">
      <w:pPr>
        <w:jc w:val="center"/>
        <w:rPr>
          <w:rFonts w:ascii="Times New Roman" w:hAnsi="Times New Roman" w:eastAsia="黑体" w:cs="黑体"/>
        </w:rPr>
      </w:pPr>
      <w:r>
        <w:rPr>
          <w:rFonts w:hint="eastAsia" w:ascii="Times New Roman" w:hAnsi="Times New Roman" w:eastAsia="黑体" w:cs="黑体"/>
        </w:rPr>
        <w:t>附表3  使用虚拟变量和改变城市土地金融累积程度衡量方式</w:t>
      </w:r>
    </w:p>
    <w:tbl>
      <w:tblPr>
        <w:tblStyle w:val="5"/>
        <w:tblW w:w="4998" w:type="pct"/>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1398"/>
        <w:gridCol w:w="3563"/>
        <w:gridCol w:w="3564"/>
      </w:tblGrid>
      <w:tr w14:paraId="61BB15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tcBorders>
              <w:bottom w:val="single" w:color="auto" w:sz="4" w:space="0"/>
            </w:tcBorders>
            <w:vAlign w:val="center"/>
          </w:tcPr>
          <w:p w14:paraId="54C0CF25">
            <w:pPr>
              <w:jc w:val="center"/>
              <w:rPr>
                <w:rFonts w:ascii="Times New Roman" w:hAnsi="Times New Roman" w:eastAsia="宋体"/>
                <w:sz w:val="18"/>
                <w:szCs w:val="18"/>
              </w:rPr>
            </w:pPr>
          </w:p>
        </w:tc>
        <w:tc>
          <w:tcPr>
            <w:tcW w:w="2089" w:type="pct"/>
            <w:tcBorders>
              <w:bottom w:val="single" w:color="auto" w:sz="4" w:space="0"/>
            </w:tcBorders>
            <w:vAlign w:val="center"/>
          </w:tcPr>
          <w:p w14:paraId="03D79EF4">
            <w:pPr>
              <w:jc w:val="center"/>
              <w:rPr>
                <w:rFonts w:ascii="Times New Roman" w:hAnsi="Times New Roman" w:eastAsia="宋体" w:cs="Times New Roman"/>
                <w:szCs w:val="21"/>
              </w:rPr>
            </w:pPr>
            <w:r>
              <w:rPr>
                <w:rFonts w:ascii="Times New Roman" w:hAnsi="Times New Roman" w:eastAsia="宋体" w:cs="Times New Roman"/>
                <w:szCs w:val="21"/>
              </w:rPr>
              <w:t>变量</w:t>
            </w:r>
          </w:p>
        </w:tc>
        <w:tc>
          <w:tcPr>
            <w:tcW w:w="2090" w:type="pct"/>
            <w:tcBorders>
              <w:bottom w:val="single" w:color="auto" w:sz="4" w:space="0"/>
            </w:tcBorders>
            <w:vAlign w:val="center"/>
          </w:tcPr>
          <w:p w14:paraId="01F9A852">
            <w:pPr>
              <w:jc w:val="center"/>
              <w:rPr>
                <w:rFonts w:ascii="Times New Roman" w:hAnsi="Times New Roman" w:eastAsia="宋体" w:cs="Times New Roman"/>
                <w:szCs w:val="21"/>
              </w:rPr>
            </w:pPr>
            <w:r>
              <w:rPr>
                <w:rFonts w:ascii="Times New Roman" w:hAnsi="Times New Roman" w:cs="Times New Roman"/>
                <w:i/>
                <w:iCs/>
                <w:szCs w:val="21"/>
              </w:rPr>
              <w:t>Risk</w:t>
            </w:r>
          </w:p>
        </w:tc>
      </w:tr>
      <w:tr w14:paraId="3DAB31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restart"/>
            <w:tcBorders>
              <w:top w:val="single" w:color="auto" w:sz="4" w:space="0"/>
              <w:bottom w:val="nil"/>
            </w:tcBorders>
            <w:shd w:val="clear" w:color="auto" w:fill="auto"/>
            <w:vAlign w:val="center"/>
          </w:tcPr>
          <w:p w14:paraId="613B570E">
            <w:pPr>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089" w:type="pct"/>
            <w:vMerge w:val="restart"/>
            <w:tcBorders>
              <w:top w:val="single" w:color="auto" w:sz="4" w:space="0"/>
              <w:bottom w:val="nil"/>
            </w:tcBorders>
            <w:vAlign w:val="center"/>
          </w:tcPr>
          <w:p w14:paraId="3C879053">
            <w:pPr>
              <w:jc w:val="center"/>
              <w:rPr>
                <w:rFonts w:ascii="Times New Roman" w:hAnsi="Times New Roman" w:eastAsia="宋体" w:cs="Times New Roman"/>
                <w:sz w:val="18"/>
                <w:szCs w:val="18"/>
                <w:oMath/>
              </w:rPr>
            </w:pPr>
            <m:oMathPara>
              <m:oMath>
                <m:r>
                  <m:rPr>
                    <m:nor/>
                  </m:rPr>
                  <w:rPr>
                    <w:rFonts w:ascii="Times New Roman" w:hAnsi="Times New Roman" w:eastAsia="宋体" w:cs="Times New Roman"/>
                    <w:i/>
                    <w:sz w:val="18"/>
                    <w:szCs w:val="18"/>
                  </w:rPr>
                  <m:t>Treat</m:t>
                </m:r>
                <m:r>
                  <m:rPr>
                    <m:nor/>
                    <m:sty m:val="p"/>
                  </m:rPr>
                  <w:rPr>
                    <w:rFonts w:ascii="Times New Roman" w:hAnsi="Times New Roman" w:eastAsia="宋体" w:cs="Times New Roman"/>
                    <w:b w:val="0"/>
                    <w:i w:val="0"/>
                    <w:sz w:val="18"/>
                    <w:szCs w:val="18"/>
                  </w:rPr>
                  <m:t>×</m:t>
                </m:r>
                <m:r>
                  <m:rPr>
                    <m:nor/>
                  </m:rPr>
                  <w:rPr>
                    <w:rFonts w:ascii="Times New Roman" w:hAnsi="Times New Roman" w:eastAsia="宋体" w:cs="Times New Roman"/>
                    <w:i/>
                    <w:sz w:val="18"/>
                    <w:szCs w:val="18"/>
                  </w:rPr>
                  <m:t>Post</m:t>
                </m:r>
              </m:oMath>
            </m:oMathPara>
          </w:p>
        </w:tc>
        <w:tc>
          <w:tcPr>
            <w:tcW w:w="2090" w:type="pct"/>
            <w:tcBorders>
              <w:top w:val="single" w:color="auto" w:sz="4" w:space="0"/>
              <w:bottom w:val="nil"/>
            </w:tcBorders>
            <w:shd w:val="clear" w:color="auto" w:fill="auto"/>
          </w:tcPr>
          <w:p w14:paraId="37B88AA2">
            <w:pPr>
              <w:jc w:val="center"/>
              <w:rPr>
                <w:rFonts w:ascii="Times New Roman" w:hAnsi="Times New Roman" w:cs="Times New Roman"/>
                <w:sz w:val="18"/>
                <w:szCs w:val="18"/>
              </w:rPr>
            </w:pPr>
            <w:r>
              <w:rPr>
                <w:rFonts w:ascii="Times New Roman" w:hAnsi="Times New Roman" w:cs="Times New Roman"/>
                <w:sz w:val="18"/>
                <w:szCs w:val="18"/>
              </w:rPr>
              <w:t>14.432</w:t>
            </w:r>
            <w:r>
              <w:rPr>
                <w:rFonts w:hint="eastAsia" w:ascii="Times New Roman" w:hAnsi="Times New Roman" w:cs="Times New Roman"/>
                <w:sz w:val="18"/>
                <w:szCs w:val="18"/>
              </w:rPr>
              <w:t>4</w:t>
            </w:r>
            <w:r>
              <w:rPr>
                <w:rFonts w:ascii="Times New Roman" w:hAnsi="Times New Roman" w:cs="Times New Roman"/>
                <w:sz w:val="18"/>
                <w:szCs w:val="18"/>
              </w:rPr>
              <w:t>***</w:t>
            </w:r>
          </w:p>
        </w:tc>
      </w:tr>
      <w:tr w14:paraId="331C59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continue"/>
            <w:tcBorders>
              <w:top w:val="nil"/>
              <w:bottom w:val="nil"/>
            </w:tcBorders>
            <w:vAlign w:val="center"/>
          </w:tcPr>
          <w:p w14:paraId="6B952FB7">
            <w:pPr>
              <w:jc w:val="center"/>
              <w:rPr>
                <w:rFonts w:ascii="Times New Roman" w:hAnsi="Times New Roman" w:eastAsia="宋体" w:cs="Times New Roman"/>
                <w:sz w:val="18"/>
                <w:szCs w:val="18"/>
              </w:rPr>
            </w:pPr>
          </w:p>
        </w:tc>
        <w:tc>
          <w:tcPr>
            <w:tcW w:w="2089" w:type="pct"/>
            <w:vMerge w:val="continue"/>
            <w:tcBorders>
              <w:top w:val="nil"/>
              <w:bottom w:val="nil"/>
            </w:tcBorders>
            <w:vAlign w:val="center"/>
          </w:tcPr>
          <w:p w14:paraId="555473FE">
            <w:pPr>
              <w:jc w:val="center"/>
              <w:rPr>
                <w:rFonts w:ascii="Times New Roman" w:hAnsi="Times New Roman" w:eastAsia="宋体" w:cs="Times New Roman"/>
                <w:sz w:val="18"/>
                <w:szCs w:val="18"/>
                <w:oMath/>
              </w:rPr>
            </w:pPr>
          </w:p>
        </w:tc>
        <w:tc>
          <w:tcPr>
            <w:tcW w:w="2090" w:type="pct"/>
            <w:tcBorders>
              <w:top w:val="nil"/>
              <w:bottom w:val="nil"/>
            </w:tcBorders>
            <w:shd w:val="clear" w:color="auto" w:fill="auto"/>
          </w:tcPr>
          <w:p w14:paraId="23F2C27F">
            <w:pPr>
              <w:jc w:val="center"/>
              <w:rPr>
                <w:rFonts w:ascii="Times New Roman" w:hAnsi="Times New Roman" w:cs="Times New Roman"/>
                <w:sz w:val="18"/>
                <w:szCs w:val="18"/>
              </w:rPr>
            </w:pPr>
            <w:r>
              <w:rPr>
                <w:rFonts w:ascii="Times New Roman" w:hAnsi="Times New Roman" w:cs="Times New Roman"/>
                <w:sz w:val="18"/>
                <w:szCs w:val="18"/>
              </w:rPr>
              <w:t>(0.989</w:t>
            </w:r>
            <w:r>
              <w:rPr>
                <w:rFonts w:hint="eastAsia" w:ascii="Times New Roman" w:hAnsi="Times New Roman" w:cs="Times New Roman"/>
                <w:sz w:val="18"/>
                <w:szCs w:val="18"/>
              </w:rPr>
              <w:t>2</w:t>
            </w:r>
            <w:r>
              <w:rPr>
                <w:rFonts w:ascii="Times New Roman" w:hAnsi="Times New Roman" w:cs="Times New Roman"/>
                <w:sz w:val="18"/>
                <w:szCs w:val="18"/>
              </w:rPr>
              <w:t>)</w:t>
            </w:r>
          </w:p>
        </w:tc>
      </w:tr>
      <w:tr w14:paraId="3A7DDB3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restart"/>
            <w:tcBorders>
              <w:top w:val="nil"/>
              <w:tl2br w:val="nil"/>
              <w:tr2bl w:val="nil"/>
            </w:tcBorders>
            <w:shd w:val="clear" w:color="auto" w:fill="auto"/>
            <w:vAlign w:val="center"/>
          </w:tcPr>
          <w:p w14:paraId="6196FC47">
            <w:pPr>
              <w:jc w:val="center"/>
              <w:rPr>
                <w:rFonts w:ascii="Cambria Math" w:hAnsi="Cambria Math" w:eastAsia="宋体" w:cs="Times New Roman"/>
                <w:sz w:val="18"/>
                <w:szCs w:val="18"/>
                <w:oMath/>
              </w:rPr>
            </w:pPr>
            <w:r>
              <w:rPr>
                <w:rFonts w:ascii="Times New Roman" w:hAnsi="Times New Roman" w:eastAsia="宋体" w:cs="Times New Roman"/>
                <w:sz w:val="18"/>
                <w:szCs w:val="18"/>
              </w:rPr>
              <w:t>（2）</w:t>
            </w:r>
          </w:p>
        </w:tc>
        <w:tc>
          <w:tcPr>
            <w:tcW w:w="2089" w:type="pct"/>
            <w:vMerge w:val="restart"/>
            <w:tcBorders>
              <w:top w:val="nil"/>
              <w:tl2br w:val="nil"/>
              <w:tr2bl w:val="nil"/>
            </w:tcBorders>
            <w:vAlign w:val="center"/>
          </w:tcPr>
          <w:p w14:paraId="78590835">
            <w:pPr>
              <w:jc w:val="center"/>
              <w:rPr>
                <w:rFonts w:ascii="Times New Roman" w:hAnsi="Times New Roman" w:eastAsia="宋体" w:cs="Times New Roman"/>
                <w:sz w:val="18"/>
                <w:szCs w:val="18"/>
              </w:rPr>
            </w:pPr>
            <m:oMathPara>
              <m:oMath>
                <m:r>
                  <m:rPr>
                    <m:nor/>
                  </m:rPr>
                  <w:rPr>
                    <w:rFonts w:ascii="Times New Roman" w:hAnsi="Times New Roman" w:eastAsia="宋体" w:cs="Times New Roman"/>
                    <w:i/>
                    <w:sz w:val="18"/>
                    <w:szCs w:val="18"/>
                  </w:rPr>
                  <m:t>Landfingdp</m:t>
                </m:r>
                <m:r>
                  <m:rPr>
                    <m:nor/>
                    <m:sty m:val="p"/>
                  </m:rPr>
                  <w:rPr>
                    <w:rFonts w:ascii="Times New Roman" w:hAnsi="Times New Roman" w:eastAsia="宋体" w:cs="Times New Roman"/>
                    <w:b w:val="0"/>
                    <w:i w:val="0"/>
                    <w:sz w:val="18"/>
                    <w:szCs w:val="18"/>
                  </w:rPr>
                  <m:t>×</m:t>
                </m:r>
                <m:r>
                  <m:rPr>
                    <m:nor/>
                  </m:rPr>
                  <w:rPr>
                    <w:rFonts w:ascii="Times New Roman" w:hAnsi="Times New Roman" w:eastAsia="宋体" w:cs="Times New Roman"/>
                    <w:i/>
                    <w:sz w:val="18"/>
                    <w:szCs w:val="18"/>
                  </w:rPr>
                  <m:t>Post</m:t>
                </m:r>
              </m:oMath>
            </m:oMathPara>
          </w:p>
        </w:tc>
        <w:tc>
          <w:tcPr>
            <w:tcW w:w="2090" w:type="pct"/>
            <w:tcBorders>
              <w:top w:val="nil"/>
              <w:tl2br w:val="nil"/>
              <w:tr2bl w:val="nil"/>
            </w:tcBorders>
            <w:shd w:val="clear" w:color="auto" w:fill="auto"/>
          </w:tcPr>
          <w:p w14:paraId="0A9CBFFC">
            <w:pPr>
              <w:jc w:val="center"/>
              <w:rPr>
                <w:rFonts w:ascii="Times New Roman" w:hAnsi="Times New Roman" w:cs="Times New Roman"/>
                <w:sz w:val="18"/>
                <w:szCs w:val="18"/>
              </w:rPr>
            </w:pPr>
            <w:r>
              <w:rPr>
                <w:rFonts w:ascii="Times New Roman" w:hAnsi="Times New Roman" w:cs="Times New Roman"/>
                <w:sz w:val="18"/>
                <w:szCs w:val="18"/>
              </w:rPr>
              <w:t>12.437</w:t>
            </w:r>
            <w:r>
              <w:rPr>
                <w:rFonts w:hint="eastAsia" w:ascii="Times New Roman" w:hAnsi="Times New Roman" w:cs="Times New Roman"/>
                <w:sz w:val="18"/>
                <w:szCs w:val="18"/>
              </w:rPr>
              <w:t>2</w:t>
            </w:r>
            <w:r>
              <w:rPr>
                <w:rFonts w:ascii="Times New Roman" w:hAnsi="Times New Roman" w:cs="Times New Roman"/>
                <w:sz w:val="18"/>
                <w:szCs w:val="18"/>
              </w:rPr>
              <w:t>***</w:t>
            </w:r>
          </w:p>
        </w:tc>
      </w:tr>
      <w:tr w14:paraId="41992D8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continue"/>
            <w:tcBorders>
              <w:tl2br w:val="nil"/>
              <w:tr2bl w:val="nil"/>
            </w:tcBorders>
            <w:vAlign w:val="center"/>
          </w:tcPr>
          <w:p w14:paraId="094FE7C9">
            <w:pPr>
              <w:jc w:val="center"/>
              <w:rPr>
                <w:rFonts w:ascii="Times New Roman" w:hAnsi="Times New Roman" w:eastAsia="宋体" w:cs="Times New Roman"/>
                <w:sz w:val="18"/>
                <w:szCs w:val="18"/>
              </w:rPr>
            </w:pPr>
          </w:p>
        </w:tc>
        <w:tc>
          <w:tcPr>
            <w:tcW w:w="2089" w:type="pct"/>
            <w:vMerge w:val="continue"/>
            <w:tcBorders>
              <w:tl2br w:val="nil"/>
              <w:tr2bl w:val="nil"/>
            </w:tcBorders>
            <w:vAlign w:val="center"/>
          </w:tcPr>
          <w:p w14:paraId="597BC7D6">
            <w:pPr>
              <w:jc w:val="center"/>
              <w:rPr>
                <w:rFonts w:ascii="Times New Roman" w:hAnsi="Times New Roman" w:eastAsia="宋体" w:cs="Times New Roman"/>
                <w:sz w:val="18"/>
                <w:szCs w:val="18"/>
              </w:rPr>
            </w:pPr>
          </w:p>
        </w:tc>
        <w:tc>
          <w:tcPr>
            <w:tcW w:w="2090" w:type="pct"/>
            <w:tcBorders>
              <w:tl2br w:val="nil"/>
              <w:tr2bl w:val="nil"/>
            </w:tcBorders>
            <w:shd w:val="clear" w:color="auto" w:fill="auto"/>
          </w:tcPr>
          <w:p w14:paraId="7CAE30F5">
            <w:pPr>
              <w:jc w:val="center"/>
              <w:rPr>
                <w:rFonts w:ascii="Times New Roman" w:hAnsi="Times New Roman" w:cs="Times New Roman"/>
                <w:sz w:val="18"/>
                <w:szCs w:val="18"/>
              </w:rPr>
            </w:pPr>
            <w:r>
              <w:rPr>
                <w:rFonts w:ascii="Times New Roman" w:hAnsi="Times New Roman" w:cs="Times New Roman"/>
                <w:sz w:val="18"/>
                <w:szCs w:val="18"/>
              </w:rPr>
              <w:t>(1.412</w:t>
            </w:r>
            <w:r>
              <w:rPr>
                <w:rFonts w:hint="eastAsia" w:ascii="Times New Roman" w:hAnsi="Times New Roman" w:cs="Times New Roman"/>
                <w:sz w:val="18"/>
                <w:szCs w:val="18"/>
              </w:rPr>
              <w:t>4</w:t>
            </w:r>
            <w:r>
              <w:rPr>
                <w:rFonts w:ascii="Times New Roman" w:hAnsi="Times New Roman" w:cs="Times New Roman"/>
                <w:sz w:val="18"/>
                <w:szCs w:val="18"/>
              </w:rPr>
              <w:t>)</w:t>
            </w:r>
          </w:p>
        </w:tc>
      </w:tr>
      <w:tr w14:paraId="76569F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restart"/>
            <w:tcBorders>
              <w:tl2br w:val="nil"/>
              <w:tr2bl w:val="nil"/>
            </w:tcBorders>
            <w:shd w:val="clear" w:color="auto" w:fill="auto"/>
            <w:vAlign w:val="center"/>
          </w:tcPr>
          <w:p w14:paraId="2C736324">
            <w:pPr>
              <w:jc w:val="center"/>
              <w:rPr>
                <w:rFonts w:ascii="Cambria Math" w:hAnsi="Cambria Math" w:eastAsia="宋体" w:cs="Times New Roman"/>
                <w:sz w:val="18"/>
                <w:szCs w:val="18"/>
                <w:oMath/>
              </w:rPr>
            </w:pPr>
            <w:r>
              <w:rPr>
                <w:rFonts w:ascii="Times New Roman" w:hAnsi="Times New Roman" w:eastAsia="宋体" w:cs="Times New Roman"/>
                <w:sz w:val="18"/>
                <w:szCs w:val="18"/>
              </w:rPr>
              <w:t>（3）</w:t>
            </w:r>
          </w:p>
        </w:tc>
        <w:tc>
          <w:tcPr>
            <w:tcW w:w="2089" w:type="pct"/>
            <w:vMerge w:val="restart"/>
            <w:tcBorders>
              <w:tl2br w:val="nil"/>
              <w:tr2bl w:val="nil"/>
            </w:tcBorders>
            <w:vAlign w:val="center"/>
          </w:tcPr>
          <w:p w14:paraId="61AF152C">
            <w:pPr>
              <w:jc w:val="center"/>
              <w:rPr>
                <w:rFonts w:ascii="Times New Roman" w:hAnsi="Times New Roman" w:eastAsia="宋体" w:cs="Times New Roman"/>
                <w:sz w:val="18"/>
                <w:szCs w:val="18"/>
              </w:rPr>
            </w:pPr>
            <m:oMathPara>
              <m:oMath>
                <m:r>
                  <m:rPr>
                    <m:nor/>
                  </m:rPr>
                  <w:rPr>
                    <w:rFonts w:ascii="Times New Roman" w:hAnsi="Times New Roman" w:eastAsia="宋体" w:cs="Times New Roman"/>
                    <w:i/>
                    <w:sz w:val="18"/>
                    <w:szCs w:val="18"/>
                  </w:rPr>
                  <m:t>Landfinbud</m:t>
                </m:r>
                <m:r>
                  <m:rPr>
                    <m:nor/>
                    <m:sty m:val="p"/>
                  </m:rPr>
                  <w:rPr>
                    <w:rFonts w:ascii="Times New Roman" w:hAnsi="Times New Roman" w:eastAsia="宋体" w:cs="Times New Roman"/>
                    <w:b w:val="0"/>
                    <w:i w:val="0"/>
                    <w:sz w:val="18"/>
                    <w:szCs w:val="18"/>
                  </w:rPr>
                  <m:t>×</m:t>
                </m:r>
                <m:r>
                  <m:rPr>
                    <m:nor/>
                  </m:rPr>
                  <w:rPr>
                    <w:rFonts w:ascii="Times New Roman" w:hAnsi="Times New Roman" w:eastAsia="宋体" w:cs="Times New Roman"/>
                    <w:i/>
                    <w:sz w:val="18"/>
                    <w:szCs w:val="18"/>
                  </w:rPr>
                  <m:t>Post</m:t>
                </m:r>
              </m:oMath>
            </m:oMathPara>
          </w:p>
        </w:tc>
        <w:tc>
          <w:tcPr>
            <w:tcW w:w="2090" w:type="pct"/>
            <w:tcBorders>
              <w:tl2br w:val="nil"/>
              <w:tr2bl w:val="nil"/>
            </w:tcBorders>
            <w:shd w:val="clear" w:color="auto" w:fill="auto"/>
          </w:tcPr>
          <w:p w14:paraId="14CC2290">
            <w:pPr>
              <w:jc w:val="center"/>
              <w:rPr>
                <w:rFonts w:ascii="Times New Roman" w:hAnsi="Times New Roman" w:cs="Times New Roman"/>
                <w:sz w:val="18"/>
                <w:szCs w:val="18"/>
              </w:rPr>
            </w:pPr>
            <w:r>
              <w:rPr>
                <w:rFonts w:ascii="Times New Roman" w:hAnsi="Times New Roman" w:cs="Times New Roman"/>
                <w:sz w:val="18"/>
                <w:szCs w:val="18"/>
              </w:rPr>
              <w:t>1.3</w:t>
            </w:r>
            <w:r>
              <w:rPr>
                <w:rFonts w:hint="eastAsia" w:ascii="Times New Roman" w:hAnsi="Times New Roman" w:cs="Times New Roman"/>
                <w:sz w:val="18"/>
                <w:szCs w:val="18"/>
              </w:rPr>
              <w:t>296</w:t>
            </w:r>
            <w:r>
              <w:rPr>
                <w:rFonts w:ascii="Times New Roman" w:hAnsi="Times New Roman" w:cs="Times New Roman"/>
                <w:sz w:val="18"/>
                <w:szCs w:val="18"/>
              </w:rPr>
              <w:t>***</w:t>
            </w:r>
          </w:p>
        </w:tc>
      </w:tr>
      <w:tr w14:paraId="2CB282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continue"/>
            <w:tcBorders>
              <w:tl2br w:val="nil"/>
              <w:tr2bl w:val="nil"/>
            </w:tcBorders>
            <w:vAlign w:val="center"/>
          </w:tcPr>
          <w:p w14:paraId="7424F894">
            <w:pPr>
              <w:jc w:val="center"/>
              <w:rPr>
                <w:rFonts w:ascii="Times New Roman" w:hAnsi="Times New Roman" w:eastAsia="宋体" w:cs="Times New Roman"/>
                <w:sz w:val="18"/>
                <w:szCs w:val="18"/>
              </w:rPr>
            </w:pPr>
          </w:p>
        </w:tc>
        <w:tc>
          <w:tcPr>
            <w:tcW w:w="2089" w:type="pct"/>
            <w:vMerge w:val="continue"/>
            <w:tcBorders>
              <w:tl2br w:val="nil"/>
              <w:tr2bl w:val="nil"/>
            </w:tcBorders>
            <w:vAlign w:val="center"/>
          </w:tcPr>
          <w:p w14:paraId="49613C60">
            <w:pPr>
              <w:jc w:val="center"/>
              <w:rPr>
                <w:rFonts w:ascii="Times New Roman" w:hAnsi="Times New Roman" w:eastAsia="宋体" w:cs="Times New Roman"/>
                <w:sz w:val="18"/>
                <w:szCs w:val="18"/>
              </w:rPr>
            </w:pPr>
          </w:p>
        </w:tc>
        <w:tc>
          <w:tcPr>
            <w:tcW w:w="2090" w:type="pct"/>
            <w:tcBorders>
              <w:tl2br w:val="nil"/>
              <w:tr2bl w:val="nil"/>
            </w:tcBorders>
            <w:shd w:val="clear" w:color="auto" w:fill="auto"/>
          </w:tcPr>
          <w:p w14:paraId="32561D65">
            <w:pPr>
              <w:jc w:val="center"/>
              <w:rPr>
                <w:rFonts w:ascii="Times New Roman" w:hAnsi="Times New Roman" w:cs="Times New Roman"/>
                <w:sz w:val="18"/>
                <w:szCs w:val="18"/>
              </w:rPr>
            </w:pPr>
            <w:r>
              <w:rPr>
                <w:rFonts w:ascii="Times New Roman" w:hAnsi="Times New Roman" w:cs="Times New Roman"/>
                <w:sz w:val="18"/>
                <w:szCs w:val="18"/>
              </w:rPr>
              <w:t>(0.215</w:t>
            </w:r>
            <w:r>
              <w:rPr>
                <w:rFonts w:hint="eastAsia" w:ascii="Times New Roman" w:hAnsi="Times New Roman" w:cs="Times New Roman"/>
                <w:sz w:val="18"/>
                <w:szCs w:val="18"/>
              </w:rPr>
              <w:t>0</w:t>
            </w:r>
            <w:r>
              <w:rPr>
                <w:rFonts w:ascii="Times New Roman" w:hAnsi="Times New Roman" w:cs="Times New Roman"/>
                <w:sz w:val="18"/>
                <w:szCs w:val="18"/>
              </w:rPr>
              <w:t>)</w:t>
            </w:r>
          </w:p>
        </w:tc>
      </w:tr>
      <w:tr w14:paraId="170A8C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restart"/>
            <w:tcBorders>
              <w:tl2br w:val="nil"/>
              <w:tr2bl w:val="nil"/>
            </w:tcBorders>
            <w:shd w:val="clear" w:color="auto" w:fill="auto"/>
            <w:vAlign w:val="center"/>
          </w:tcPr>
          <w:p w14:paraId="5743A961">
            <w:pPr>
              <w:jc w:val="center"/>
              <w:rPr>
                <w:rFonts w:ascii="Cambria Math" w:hAnsi="Cambria Math" w:eastAsia="宋体" w:cs="Times New Roman"/>
                <w:sz w:val="18"/>
                <w:szCs w:val="18"/>
                <w:oMath/>
              </w:rPr>
            </w:pPr>
            <w:r>
              <w:rPr>
                <w:rFonts w:ascii="Times New Roman" w:hAnsi="Times New Roman" w:eastAsia="宋体" w:cs="Times New Roman"/>
                <w:sz w:val="18"/>
                <w:szCs w:val="18"/>
              </w:rPr>
              <w:t>（4）</w:t>
            </w:r>
          </w:p>
        </w:tc>
        <w:tc>
          <w:tcPr>
            <w:tcW w:w="2089" w:type="pct"/>
            <w:vMerge w:val="restart"/>
            <w:tcBorders>
              <w:tl2br w:val="nil"/>
              <w:tr2bl w:val="nil"/>
            </w:tcBorders>
            <w:vAlign w:val="center"/>
          </w:tcPr>
          <w:p w14:paraId="59C5D723">
            <w:pPr>
              <w:jc w:val="center"/>
              <w:rPr>
                <w:rFonts w:ascii="Times New Roman" w:hAnsi="Times New Roman" w:eastAsia="宋体" w:cs="Times New Roman"/>
                <w:sz w:val="18"/>
                <w:szCs w:val="18"/>
              </w:rPr>
            </w:pPr>
            <m:oMathPara>
              <m:oMath>
                <m:r>
                  <m:rPr>
                    <m:nor/>
                  </m:rPr>
                  <w:rPr>
                    <w:rFonts w:ascii="Times New Roman" w:hAnsi="Times New Roman" w:eastAsia="宋体" w:cs="Times New Roman"/>
                    <w:i/>
                    <w:sz w:val="18"/>
                    <w:szCs w:val="18"/>
                  </w:rPr>
                  <m:t>Landfinpop</m:t>
                </m:r>
                <m:r>
                  <m:rPr>
                    <m:nor/>
                    <m:sty m:val="p"/>
                  </m:rPr>
                  <w:rPr>
                    <w:rFonts w:ascii="Times New Roman" w:hAnsi="Times New Roman" w:eastAsia="宋体" w:cs="Times New Roman"/>
                    <w:b w:val="0"/>
                    <w:i w:val="0"/>
                    <w:sz w:val="18"/>
                    <w:szCs w:val="18"/>
                  </w:rPr>
                  <m:t>×</m:t>
                </m:r>
                <m:r>
                  <m:rPr>
                    <m:nor/>
                  </m:rPr>
                  <w:rPr>
                    <w:rFonts w:ascii="Times New Roman" w:hAnsi="Times New Roman" w:eastAsia="宋体" w:cs="Times New Roman"/>
                    <w:i/>
                    <w:sz w:val="18"/>
                    <w:szCs w:val="18"/>
                  </w:rPr>
                  <m:t>Post</m:t>
                </m:r>
              </m:oMath>
            </m:oMathPara>
          </w:p>
        </w:tc>
        <w:tc>
          <w:tcPr>
            <w:tcW w:w="2090" w:type="pct"/>
            <w:tcBorders>
              <w:tl2br w:val="nil"/>
              <w:tr2bl w:val="nil"/>
            </w:tcBorders>
          </w:tcPr>
          <w:p w14:paraId="15DB3EF2">
            <w:pPr>
              <w:jc w:val="center"/>
              <w:rPr>
                <w:rFonts w:ascii="Times New Roman" w:hAnsi="Times New Roman" w:eastAsia="宋体" w:cs="Times New Roman"/>
                <w:sz w:val="18"/>
                <w:szCs w:val="18"/>
              </w:rPr>
            </w:pPr>
            <w:r>
              <w:rPr>
                <w:rFonts w:ascii="Times New Roman" w:hAnsi="Times New Roman" w:cs="Times New Roman"/>
                <w:sz w:val="18"/>
                <w:szCs w:val="18"/>
              </w:rPr>
              <w:t>1.5</w:t>
            </w:r>
            <w:r>
              <w:rPr>
                <w:rFonts w:hint="eastAsia" w:ascii="Times New Roman" w:hAnsi="Times New Roman" w:cs="Times New Roman"/>
                <w:sz w:val="18"/>
                <w:szCs w:val="18"/>
              </w:rPr>
              <w:t>797</w:t>
            </w:r>
            <w:r>
              <w:rPr>
                <w:rFonts w:ascii="Times New Roman" w:hAnsi="Times New Roman" w:cs="Times New Roman"/>
                <w:sz w:val="18"/>
                <w:szCs w:val="18"/>
              </w:rPr>
              <w:t>***</w:t>
            </w:r>
          </w:p>
        </w:tc>
      </w:tr>
      <w:tr w14:paraId="2862B1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continue"/>
            <w:tcBorders>
              <w:tl2br w:val="nil"/>
              <w:tr2bl w:val="nil"/>
            </w:tcBorders>
            <w:vAlign w:val="center"/>
          </w:tcPr>
          <w:p w14:paraId="0AC0BCC0">
            <w:pPr>
              <w:jc w:val="center"/>
              <w:rPr>
                <w:rFonts w:ascii="Times New Roman" w:hAnsi="Times New Roman" w:eastAsia="宋体" w:cs="Times New Roman"/>
                <w:sz w:val="18"/>
                <w:szCs w:val="18"/>
              </w:rPr>
            </w:pPr>
          </w:p>
        </w:tc>
        <w:tc>
          <w:tcPr>
            <w:tcW w:w="2089" w:type="pct"/>
            <w:vMerge w:val="continue"/>
            <w:tcBorders>
              <w:tl2br w:val="nil"/>
              <w:tr2bl w:val="nil"/>
            </w:tcBorders>
            <w:vAlign w:val="center"/>
          </w:tcPr>
          <w:p w14:paraId="1F15CC32">
            <w:pPr>
              <w:jc w:val="center"/>
              <w:rPr>
                <w:rFonts w:ascii="Times New Roman" w:hAnsi="Times New Roman" w:eastAsia="宋体" w:cs="Times New Roman"/>
                <w:sz w:val="18"/>
                <w:szCs w:val="18"/>
              </w:rPr>
            </w:pPr>
          </w:p>
        </w:tc>
        <w:tc>
          <w:tcPr>
            <w:tcW w:w="2090" w:type="pct"/>
            <w:tcBorders>
              <w:tl2br w:val="nil"/>
              <w:tr2bl w:val="nil"/>
            </w:tcBorders>
          </w:tcPr>
          <w:p w14:paraId="224767B8">
            <w:pPr>
              <w:jc w:val="center"/>
              <w:rPr>
                <w:rFonts w:ascii="Times New Roman" w:hAnsi="Times New Roman" w:eastAsia="宋体" w:cs="Times New Roman"/>
                <w:sz w:val="18"/>
                <w:szCs w:val="18"/>
              </w:rPr>
            </w:pPr>
            <w:r>
              <w:rPr>
                <w:rFonts w:ascii="Times New Roman" w:hAnsi="Times New Roman" w:cs="Times New Roman"/>
                <w:sz w:val="18"/>
                <w:szCs w:val="18"/>
              </w:rPr>
              <w:t>(0.10</w:t>
            </w:r>
            <w:r>
              <w:rPr>
                <w:rFonts w:hint="eastAsia" w:ascii="Times New Roman" w:hAnsi="Times New Roman" w:cs="Times New Roman"/>
                <w:sz w:val="18"/>
                <w:szCs w:val="18"/>
              </w:rPr>
              <w:t>36</w:t>
            </w:r>
            <w:r>
              <w:rPr>
                <w:rFonts w:ascii="Times New Roman" w:hAnsi="Times New Roman" w:cs="Times New Roman"/>
                <w:sz w:val="18"/>
                <w:szCs w:val="18"/>
              </w:rPr>
              <w:t>)</w:t>
            </w:r>
          </w:p>
        </w:tc>
      </w:tr>
      <w:tr w14:paraId="4ADE394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restart"/>
            <w:tcBorders>
              <w:tl2br w:val="nil"/>
              <w:tr2bl w:val="nil"/>
            </w:tcBorders>
            <w:shd w:val="clear" w:color="auto" w:fill="auto"/>
            <w:vAlign w:val="center"/>
          </w:tcPr>
          <w:p w14:paraId="6D368896">
            <w:pPr>
              <w:jc w:val="center"/>
              <w:rPr>
                <w:rFonts w:ascii="Cambria Math" w:hAnsi="Cambria Math" w:eastAsia="宋体" w:cs="Times New Roman"/>
                <w:sz w:val="18"/>
                <w:szCs w:val="18"/>
                <w:oMath/>
              </w:rPr>
            </w:pPr>
            <w:r>
              <w:rPr>
                <w:rFonts w:ascii="Times New Roman" w:hAnsi="Times New Roman" w:eastAsia="宋体" w:cs="Times New Roman"/>
                <w:sz w:val="18"/>
                <w:szCs w:val="18"/>
              </w:rPr>
              <w:t>（5）</w:t>
            </w:r>
          </w:p>
        </w:tc>
        <w:tc>
          <w:tcPr>
            <w:tcW w:w="2089" w:type="pct"/>
            <w:vMerge w:val="restart"/>
            <w:tcBorders>
              <w:tl2br w:val="nil"/>
              <w:tr2bl w:val="nil"/>
            </w:tcBorders>
            <w:vAlign w:val="center"/>
          </w:tcPr>
          <w:p w14:paraId="6022E65D">
            <w:pPr>
              <w:jc w:val="center"/>
              <w:rPr>
                <w:rFonts w:ascii="Times New Roman" w:hAnsi="Times New Roman" w:eastAsia="宋体" w:cs="Times New Roman"/>
                <w:sz w:val="18"/>
                <w:szCs w:val="18"/>
              </w:rPr>
            </w:pPr>
            <m:oMathPara>
              <m:oMath>
                <m:r>
                  <m:rPr>
                    <m:nor/>
                  </m:rPr>
                  <w:rPr>
                    <w:rFonts w:hint="eastAsia" w:ascii="Times New Roman" w:hAnsi="Times New Roman" w:eastAsia="宋体" w:cs="Times New Roman"/>
                    <w:i/>
                    <w:sz w:val="18"/>
                    <w:szCs w:val="18"/>
                  </w:rPr>
                  <m:t>M2</m:t>
                </m:r>
                <m:r>
                  <m:rPr>
                    <m:nor/>
                  </m:rPr>
                  <w:rPr>
                    <w:rFonts w:ascii="Times New Roman" w:hAnsi="Times New Roman" w:eastAsia="宋体" w:cs="Times New Roman"/>
                    <w:i/>
                    <w:sz w:val="18"/>
                    <w:szCs w:val="18"/>
                  </w:rPr>
                  <m:t>Landfin</m:t>
                </m:r>
                <m:r>
                  <m:rPr>
                    <m:nor/>
                    <m:sty m:val="p"/>
                  </m:rPr>
                  <w:rPr>
                    <w:rFonts w:ascii="Times New Roman" w:hAnsi="Times New Roman" w:eastAsia="宋体" w:cs="Times New Roman"/>
                    <w:b w:val="0"/>
                    <w:i w:val="0"/>
                    <w:sz w:val="18"/>
                    <w:szCs w:val="18"/>
                  </w:rPr>
                  <m:t>×</m:t>
                </m:r>
                <m:r>
                  <m:rPr>
                    <m:nor/>
                  </m:rPr>
                  <w:rPr>
                    <w:rFonts w:ascii="Times New Roman" w:hAnsi="Times New Roman" w:eastAsia="宋体" w:cs="Times New Roman"/>
                    <w:i/>
                    <w:sz w:val="18"/>
                    <w:szCs w:val="18"/>
                  </w:rPr>
                  <m:t>Post</m:t>
                </m:r>
              </m:oMath>
            </m:oMathPara>
          </w:p>
        </w:tc>
        <w:tc>
          <w:tcPr>
            <w:tcW w:w="2090" w:type="pct"/>
            <w:tcBorders>
              <w:tl2br w:val="nil"/>
              <w:tr2bl w:val="nil"/>
            </w:tcBorders>
          </w:tcPr>
          <w:p w14:paraId="35EC7200">
            <w:pPr>
              <w:jc w:val="center"/>
              <w:rPr>
                <w:rFonts w:ascii="Times New Roman" w:hAnsi="Times New Roman" w:eastAsia="宋体" w:cs="Times New Roman"/>
                <w:sz w:val="18"/>
                <w:szCs w:val="18"/>
              </w:rPr>
            </w:pPr>
            <w:r>
              <w:rPr>
                <w:rFonts w:ascii="Times New Roman" w:hAnsi="Times New Roman" w:cs="Times New Roman"/>
                <w:sz w:val="18"/>
                <w:szCs w:val="18"/>
              </w:rPr>
              <w:t>0.62</w:t>
            </w:r>
            <w:r>
              <w:rPr>
                <w:rFonts w:hint="eastAsia" w:ascii="Times New Roman" w:hAnsi="Times New Roman" w:cs="Times New Roman"/>
                <w:sz w:val="18"/>
                <w:szCs w:val="18"/>
              </w:rPr>
              <w:t>15</w:t>
            </w:r>
            <w:r>
              <w:rPr>
                <w:rFonts w:ascii="Times New Roman" w:hAnsi="Times New Roman" w:cs="Times New Roman"/>
                <w:sz w:val="18"/>
                <w:szCs w:val="18"/>
              </w:rPr>
              <w:t>***</w:t>
            </w:r>
          </w:p>
        </w:tc>
      </w:tr>
      <w:tr w14:paraId="14DE93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continue"/>
            <w:tcBorders>
              <w:tl2br w:val="nil"/>
              <w:tr2bl w:val="nil"/>
            </w:tcBorders>
            <w:vAlign w:val="center"/>
          </w:tcPr>
          <w:p w14:paraId="4A481303">
            <w:pPr>
              <w:jc w:val="center"/>
              <w:rPr>
                <w:rFonts w:ascii="Times New Roman" w:hAnsi="Times New Roman" w:eastAsia="宋体" w:cs="Times New Roman"/>
                <w:sz w:val="18"/>
                <w:szCs w:val="18"/>
              </w:rPr>
            </w:pPr>
          </w:p>
        </w:tc>
        <w:tc>
          <w:tcPr>
            <w:tcW w:w="2089" w:type="pct"/>
            <w:vMerge w:val="continue"/>
            <w:tcBorders>
              <w:tl2br w:val="nil"/>
              <w:tr2bl w:val="nil"/>
            </w:tcBorders>
            <w:vAlign w:val="center"/>
          </w:tcPr>
          <w:p w14:paraId="4A0E3919">
            <w:pPr>
              <w:jc w:val="center"/>
              <w:rPr>
                <w:rFonts w:ascii="Times New Roman" w:hAnsi="Times New Roman" w:eastAsia="宋体" w:cs="Times New Roman"/>
                <w:sz w:val="18"/>
                <w:szCs w:val="18"/>
              </w:rPr>
            </w:pPr>
          </w:p>
        </w:tc>
        <w:tc>
          <w:tcPr>
            <w:tcW w:w="2090" w:type="pct"/>
            <w:tcBorders>
              <w:tl2br w:val="nil"/>
              <w:tr2bl w:val="nil"/>
            </w:tcBorders>
          </w:tcPr>
          <w:p w14:paraId="1EB15A36">
            <w:pPr>
              <w:jc w:val="center"/>
              <w:rPr>
                <w:rFonts w:ascii="Times New Roman" w:hAnsi="Times New Roman" w:eastAsia="宋体" w:cs="Times New Roman"/>
                <w:sz w:val="18"/>
                <w:szCs w:val="18"/>
              </w:rPr>
            </w:pPr>
            <w:r>
              <w:rPr>
                <w:rFonts w:ascii="Times New Roman" w:hAnsi="Times New Roman" w:cs="Times New Roman"/>
                <w:sz w:val="18"/>
                <w:szCs w:val="18"/>
              </w:rPr>
              <w:t>(0.04</w:t>
            </w:r>
            <w:r>
              <w:rPr>
                <w:rFonts w:hint="eastAsia" w:ascii="Times New Roman" w:hAnsi="Times New Roman" w:cs="Times New Roman"/>
                <w:sz w:val="18"/>
                <w:szCs w:val="18"/>
              </w:rPr>
              <w:t>08</w:t>
            </w:r>
            <w:r>
              <w:rPr>
                <w:rFonts w:ascii="Times New Roman" w:hAnsi="Times New Roman" w:cs="Times New Roman"/>
                <w:sz w:val="18"/>
                <w:szCs w:val="18"/>
              </w:rPr>
              <w:t>)</w:t>
            </w:r>
          </w:p>
        </w:tc>
      </w:tr>
      <w:tr w14:paraId="40A545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restart"/>
            <w:tcBorders>
              <w:tl2br w:val="nil"/>
              <w:tr2bl w:val="nil"/>
            </w:tcBorders>
            <w:shd w:val="clear" w:color="auto" w:fill="auto"/>
            <w:vAlign w:val="center"/>
          </w:tcPr>
          <w:p w14:paraId="39C1CD3D">
            <w:pPr>
              <w:jc w:val="center"/>
              <w:rPr>
                <w:rFonts w:ascii="Cambria Math" w:hAnsi="Cambria Math" w:eastAsia="宋体" w:cs="Times New Roman"/>
                <w:sz w:val="18"/>
                <w:szCs w:val="18"/>
                <w:oMath/>
              </w:rPr>
            </w:pPr>
            <w:r>
              <w:rPr>
                <w:rFonts w:ascii="Times New Roman" w:hAnsi="Times New Roman" w:eastAsia="宋体" w:cs="Times New Roman"/>
                <w:sz w:val="18"/>
                <w:szCs w:val="18"/>
              </w:rPr>
              <w:t>（6）</w:t>
            </w:r>
          </w:p>
        </w:tc>
        <w:tc>
          <w:tcPr>
            <w:tcW w:w="2089" w:type="pct"/>
            <w:vMerge w:val="restart"/>
            <w:tcBorders>
              <w:tl2br w:val="nil"/>
              <w:tr2bl w:val="nil"/>
            </w:tcBorders>
            <w:vAlign w:val="center"/>
          </w:tcPr>
          <w:p w14:paraId="5AEB8276">
            <w:pPr>
              <w:jc w:val="center"/>
              <w:rPr>
                <w:rFonts w:ascii="Times New Roman" w:hAnsi="Times New Roman" w:eastAsia="宋体" w:cs="Times New Roman"/>
                <w:sz w:val="18"/>
                <w:szCs w:val="18"/>
              </w:rPr>
            </w:pPr>
            <m:oMathPara>
              <m:oMath>
                <m:r>
                  <m:rPr>
                    <m:nor/>
                  </m:rPr>
                  <w:rPr>
                    <w:rFonts w:hint="eastAsia" w:ascii="Times New Roman" w:hAnsi="Times New Roman" w:eastAsia="宋体" w:cs="Times New Roman"/>
                    <w:i/>
                    <w:sz w:val="18"/>
                    <w:szCs w:val="18"/>
                  </w:rPr>
                  <m:t>M</m:t>
                </m:r>
                <m:r>
                  <m:rPr>
                    <m:nor/>
                    <m:sty m:val="p"/>
                  </m:rPr>
                  <w:rPr>
                    <w:rFonts w:hint="default" w:ascii="Times New Roman" w:hAnsi="Times New Roman" w:eastAsia="宋体" w:cs="Times New Roman"/>
                    <w:b w:val="0"/>
                    <w:i w:val="0"/>
                    <w:sz w:val="18"/>
                    <w:szCs w:val="18"/>
                    <w:lang w:val="en-US" w:eastAsia="zh-CN"/>
                  </w:rPr>
                  <m:t>3</m:t>
                </m:r>
                <m:r>
                  <m:rPr>
                    <m:nor/>
                  </m:rPr>
                  <w:rPr>
                    <w:rFonts w:ascii="Times New Roman" w:hAnsi="Times New Roman" w:eastAsia="宋体" w:cs="Times New Roman"/>
                    <w:i/>
                    <w:sz w:val="18"/>
                    <w:szCs w:val="18"/>
                  </w:rPr>
                  <m:t>Landfin</m:t>
                </m:r>
                <m:r>
                  <m:rPr>
                    <m:nor/>
                    <m:sty m:val="p"/>
                  </m:rPr>
                  <w:rPr>
                    <w:rFonts w:ascii="Times New Roman" w:hAnsi="Times New Roman" w:eastAsia="宋体" w:cs="Times New Roman"/>
                    <w:b w:val="0"/>
                    <w:i w:val="0"/>
                    <w:sz w:val="18"/>
                    <w:szCs w:val="18"/>
                  </w:rPr>
                  <m:t>×</m:t>
                </m:r>
                <m:r>
                  <m:rPr>
                    <m:nor/>
                  </m:rPr>
                  <w:rPr>
                    <w:rFonts w:ascii="Times New Roman" w:hAnsi="Times New Roman" w:eastAsia="宋体" w:cs="Times New Roman"/>
                    <w:i/>
                    <w:sz w:val="18"/>
                    <w:szCs w:val="18"/>
                  </w:rPr>
                  <m:t>Post</m:t>
                </m:r>
              </m:oMath>
            </m:oMathPara>
          </w:p>
        </w:tc>
        <w:tc>
          <w:tcPr>
            <w:tcW w:w="2090" w:type="pct"/>
            <w:tcBorders>
              <w:tl2br w:val="nil"/>
              <w:tr2bl w:val="nil"/>
            </w:tcBorders>
          </w:tcPr>
          <w:p w14:paraId="17F8D8E3">
            <w:pPr>
              <w:jc w:val="center"/>
              <w:rPr>
                <w:rFonts w:ascii="Times New Roman" w:hAnsi="Times New Roman" w:eastAsia="宋体" w:cs="Times New Roman"/>
                <w:sz w:val="18"/>
                <w:szCs w:val="18"/>
              </w:rPr>
            </w:pPr>
            <w:r>
              <w:rPr>
                <w:rFonts w:ascii="Times New Roman" w:hAnsi="Times New Roman" w:cs="Times New Roman"/>
                <w:sz w:val="18"/>
                <w:szCs w:val="18"/>
              </w:rPr>
              <w:t>0.625</w:t>
            </w:r>
            <w:r>
              <w:rPr>
                <w:rFonts w:hint="eastAsia" w:ascii="Times New Roman" w:hAnsi="Times New Roman" w:cs="Times New Roman"/>
                <w:sz w:val="18"/>
                <w:szCs w:val="18"/>
              </w:rPr>
              <w:t>5</w:t>
            </w:r>
            <w:r>
              <w:rPr>
                <w:rFonts w:ascii="Times New Roman" w:hAnsi="Times New Roman" w:cs="Times New Roman"/>
                <w:sz w:val="18"/>
                <w:szCs w:val="18"/>
              </w:rPr>
              <w:t>***</w:t>
            </w:r>
          </w:p>
        </w:tc>
      </w:tr>
      <w:tr w14:paraId="3FE87EF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continue"/>
            <w:tcBorders>
              <w:tl2br w:val="nil"/>
              <w:tr2bl w:val="nil"/>
            </w:tcBorders>
            <w:vAlign w:val="center"/>
          </w:tcPr>
          <w:p w14:paraId="1F5A7DA0">
            <w:pPr>
              <w:jc w:val="center"/>
              <w:rPr>
                <w:rFonts w:ascii="Times New Roman" w:hAnsi="Times New Roman" w:eastAsia="宋体" w:cs="Times New Roman"/>
                <w:sz w:val="18"/>
                <w:szCs w:val="18"/>
              </w:rPr>
            </w:pPr>
          </w:p>
        </w:tc>
        <w:tc>
          <w:tcPr>
            <w:tcW w:w="2089" w:type="pct"/>
            <w:vMerge w:val="continue"/>
            <w:tcBorders>
              <w:tl2br w:val="nil"/>
              <w:tr2bl w:val="nil"/>
            </w:tcBorders>
            <w:vAlign w:val="center"/>
          </w:tcPr>
          <w:p w14:paraId="6D922D27">
            <w:pPr>
              <w:jc w:val="center"/>
              <w:rPr>
                <w:rFonts w:ascii="Times New Roman" w:hAnsi="Times New Roman" w:eastAsia="宋体" w:cs="Times New Roman"/>
                <w:sz w:val="18"/>
                <w:szCs w:val="18"/>
              </w:rPr>
            </w:pPr>
          </w:p>
        </w:tc>
        <w:tc>
          <w:tcPr>
            <w:tcW w:w="2090" w:type="pct"/>
            <w:tcBorders>
              <w:tl2br w:val="nil"/>
              <w:tr2bl w:val="nil"/>
            </w:tcBorders>
          </w:tcPr>
          <w:p w14:paraId="1BDB1CB1">
            <w:pPr>
              <w:jc w:val="center"/>
              <w:rPr>
                <w:rFonts w:ascii="Times New Roman" w:hAnsi="Times New Roman" w:eastAsia="宋体" w:cs="Times New Roman"/>
                <w:sz w:val="18"/>
                <w:szCs w:val="18"/>
              </w:rPr>
            </w:pPr>
            <w:r>
              <w:rPr>
                <w:rFonts w:ascii="Times New Roman" w:hAnsi="Times New Roman" w:cs="Times New Roman"/>
                <w:sz w:val="18"/>
                <w:szCs w:val="18"/>
              </w:rPr>
              <w:t>(0.041</w:t>
            </w:r>
            <w:r>
              <w:rPr>
                <w:rFonts w:hint="eastAsia" w:ascii="Times New Roman" w:hAnsi="Times New Roman" w:cs="Times New Roman"/>
                <w:sz w:val="18"/>
                <w:szCs w:val="18"/>
              </w:rPr>
              <w:t>0</w:t>
            </w:r>
            <w:r>
              <w:rPr>
                <w:rFonts w:ascii="Times New Roman" w:hAnsi="Times New Roman" w:cs="Times New Roman"/>
                <w:sz w:val="18"/>
                <w:szCs w:val="18"/>
              </w:rPr>
              <w:t>)</w:t>
            </w:r>
          </w:p>
        </w:tc>
      </w:tr>
      <w:tr w14:paraId="457D23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restart"/>
            <w:tcBorders>
              <w:tl2br w:val="nil"/>
              <w:tr2bl w:val="nil"/>
            </w:tcBorders>
            <w:shd w:val="clear" w:color="auto" w:fill="auto"/>
            <w:vAlign w:val="center"/>
          </w:tcPr>
          <w:p w14:paraId="555B2983">
            <w:pPr>
              <w:jc w:val="center"/>
              <w:rPr>
                <w:rFonts w:ascii="Cambria Math" w:hAnsi="Cambria Math" w:eastAsia="宋体" w:cs="Times New Roman"/>
                <w:sz w:val="18"/>
                <w:szCs w:val="18"/>
                <w:oMath/>
              </w:rPr>
            </w:pPr>
            <w:r>
              <w:rPr>
                <w:rFonts w:ascii="Times New Roman" w:hAnsi="Times New Roman" w:eastAsia="宋体" w:cs="Times New Roman"/>
                <w:sz w:val="18"/>
                <w:szCs w:val="18"/>
              </w:rPr>
              <w:t>（7）</w:t>
            </w:r>
          </w:p>
        </w:tc>
        <w:tc>
          <w:tcPr>
            <w:tcW w:w="2089" w:type="pct"/>
            <w:vMerge w:val="restart"/>
            <w:tcBorders>
              <w:tl2br w:val="nil"/>
              <w:tr2bl w:val="nil"/>
            </w:tcBorders>
            <w:vAlign w:val="center"/>
          </w:tcPr>
          <w:p w14:paraId="25545C62">
            <w:pPr>
              <w:jc w:val="center"/>
              <w:rPr>
                <w:rFonts w:ascii="Times New Roman" w:hAnsi="Times New Roman" w:eastAsia="宋体" w:cs="Times New Roman"/>
                <w:sz w:val="18"/>
                <w:szCs w:val="18"/>
              </w:rPr>
            </w:pPr>
            <m:oMathPara>
              <m:oMath>
                <m:r>
                  <m:rPr>
                    <m:nor/>
                  </m:rPr>
                  <w:rPr>
                    <w:rFonts w:hint="eastAsia" w:ascii="Times New Roman" w:hAnsi="Times New Roman" w:eastAsia="宋体" w:cs="Times New Roman"/>
                    <w:i/>
                    <w:sz w:val="18"/>
                    <w:szCs w:val="18"/>
                  </w:rPr>
                  <m:t>M</m:t>
                </m:r>
                <m:r>
                  <m:rPr>
                    <m:nor/>
                    <m:sty m:val="p"/>
                  </m:rPr>
                  <w:rPr>
                    <w:rFonts w:hint="default" w:ascii="Times New Roman" w:hAnsi="Times New Roman" w:eastAsia="宋体" w:cs="Times New Roman"/>
                    <w:b w:val="0"/>
                    <w:i w:val="0"/>
                    <w:sz w:val="18"/>
                    <w:szCs w:val="18"/>
                    <w:lang w:val="en-US" w:eastAsia="zh-CN"/>
                  </w:rPr>
                  <m:t>4</m:t>
                </m:r>
                <m:r>
                  <m:rPr>
                    <m:nor/>
                  </m:rPr>
                  <w:rPr>
                    <w:rFonts w:ascii="Times New Roman" w:hAnsi="Times New Roman" w:eastAsia="宋体" w:cs="Times New Roman"/>
                    <w:i/>
                    <w:sz w:val="18"/>
                    <w:szCs w:val="18"/>
                  </w:rPr>
                  <m:t>Landfin</m:t>
                </m:r>
                <m:r>
                  <m:rPr>
                    <m:nor/>
                    <m:sty m:val="p"/>
                  </m:rPr>
                  <w:rPr>
                    <w:rFonts w:ascii="Times New Roman" w:hAnsi="Times New Roman" w:eastAsia="宋体" w:cs="Times New Roman"/>
                    <w:b w:val="0"/>
                    <w:i w:val="0"/>
                    <w:sz w:val="18"/>
                    <w:szCs w:val="18"/>
                  </w:rPr>
                  <m:t>×</m:t>
                </m:r>
                <m:r>
                  <m:rPr>
                    <m:nor/>
                  </m:rPr>
                  <w:rPr>
                    <w:rFonts w:ascii="Times New Roman" w:hAnsi="Times New Roman" w:eastAsia="宋体" w:cs="Times New Roman"/>
                    <w:i/>
                    <w:sz w:val="18"/>
                    <w:szCs w:val="18"/>
                  </w:rPr>
                  <m:t>Post</m:t>
                </m:r>
              </m:oMath>
            </m:oMathPara>
          </w:p>
        </w:tc>
        <w:tc>
          <w:tcPr>
            <w:tcW w:w="2090" w:type="pct"/>
            <w:tcBorders>
              <w:tl2br w:val="nil"/>
              <w:tr2bl w:val="nil"/>
            </w:tcBorders>
          </w:tcPr>
          <w:p w14:paraId="3068F49E">
            <w:pPr>
              <w:jc w:val="center"/>
              <w:rPr>
                <w:rFonts w:ascii="Times New Roman" w:hAnsi="Times New Roman" w:eastAsia="宋体" w:cs="Times New Roman"/>
                <w:sz w:val="18"/>
                <w:szCs w:val="18"/>
              </w:rPr>
            </w:pPr>
            <w:r>
              <w:rPr>
                <w:rFonts w:ascii="Times New Roman" w:hAnsi="Times New Roman" w:cs="Times New Roman"/>
                <w:sz w:val="18"/>
                <w:szCs w:val="18"/>
              </w:rPr>
              <w:t>0.629</w:t>
            </w:r>
            <w:r>
              <w:rPr>
                <w:rFonts w:hint="eastAsia" w:ascii="Times New Roman" w:hAnsi="Times New Roman" w:cs="Times New Roman"/>
                <w:sz w:val="18"/>
                <w:szCs w:val="18"/>
              </w:rPr>
              <w:t>1</w:t>
            </w:r>
            <w:r>
              <w:rPr>
                <w:rFonts w:ascii="Times New Roman" w:hAnsi="Times New Roman" w:cs="Times New Roman"/>
                <w:sz w:val="18"/>
                <w:szCs w:val="18"/>
              </w:rPr>
              <w:t>***</w:t>
            </w:r>
          </w:p>
        </w:tc>
      </w:tr>
      <w:tr w14:paraId="2A322A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continue"/>
            <w:tcBorders>
              <w:tl2br w:val="nil"/>
              <w:tr2bl w:val="nil"/>
            </w:tcBorders>
            <w:vAlign w:val="center"/>
          </w:tcPr>
          <w:p w14:paraId="6CBA22CC">
            <w:pPr>
              <w:jc w:val="center"/>
              <w:rPr>
                <w:rFonts w:ascii="Times New Roman" w:hAnsi="Times New Roman" w:eastAsia="宋体" w:cs="Times New Roman"/>
                <w:sz w:val="18"/>
                <w:szCs w:val="18"/>
              </w:rPr>
            </w:pPr>
          </w:p>
        </w:tc>
        <w:tc>
          <w:tcPr>
            <w:tcW w:w="2089" w:type="pct"/>
            <w:vMerge w:val="continue"/>
            <w:tcBorders>
              <w:tl2br w:val="nil"/>
              <w:tr2bl w:val="nil"/>
            </w:tcBorders>
            <w:vAlign w:val="center"/>
          </w:tcPr>
          <w:p w14:paraId="3BD5DC94">
            <w:pPr>
              <w:jc w:val="center"/>
              <w:rPr>
                <w:rFonts w:ascii="Times New Roman" w:hAnsi="Times New Roman" w:eastAsia="宋体" w:cs="Times New Roman"/>
                <w:sz w:val="18"/>
                <w:szCs w:val="18"/>
              </w:rPr>
            </w:pPr>
          </w:p>
        </w:tc>
        <w:tc>
          <w:tcPr>
            <w:tcW w:w="2090" w:type="pct"/>
            <w:tcBorders>
              <w:tl2br w:val="nil"/>
              <w:tr2bl w:val="nil"/>
            </w:tcBorders>
          </w:tcPr>
          <w:p w14:paraId="167BE5F8">
            <w:pPr>
              <w:jc w:val="center"/>
              <w:rPr>
                <w:rFonts w:ascii="Times New Roman" w:hAnsi="Times New Roman" w:eastAsia="宋体" w:cs="Times New Roman"/>
                <w:sz w:val="18"/>
                <w:szCs w:val="18"/>
              </w:rPr>
            </w:pPr>
            <w:r>
              <w:rPr>
                <w:rFonts w:ascii="Times New Roman" w:hAnsi="Times New Roman" w:cs="Times New Roman"/>
                <w:sz w:val="18"/>
                <w:szCs w:val="18"/>
              </w:rPr>
              <w:t>(0.041</w:t>
            </w:r>
            <w:r>
              <w:rPr>
                <w:rFonts w:hint="eastAsia" w:ascii="Times New Roman" w:hAnsi="Times New Roman" w:cs="Times New Roman"/>
                <w:sz w:val="18"/>
                <w:szCs w:val="18"/>
              </w:rPr>
              <w:t>2</w:t>
            </w:r>
            <w:r>
              <w:rPr>
                <w:rFonts w:ascii="Times New Roman" w:hAnsi="Times New Roman" w:cs="Times New Roman"/>
                <w:sz w:val="18"/>
                <w:szCs w:val="18"/>
              </w:rPr>
              <w:t>)</w:t>
            </w:r>
          </w:p>
        </w:tc>
      </w:tr>
      <w:tr w14:paraId="2AA8BE8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restart"/>
            <w:tcBorders>
              <w:tl2br w:val="nil"/>
              <w:tr2bl w:val="nil"/>
            </w:tcBorders>
            <w:vAlign w:val="center"/>
          </w:tcPr>
          <w:p w14:paraId="6195F878">
            <w:pPr>
              <w:jc w:val="center"/>
              <w:rPr>
                <w:rFonts w:ascii="Cambria Math" w:hAnsi="Cambria Math" w:eastAsia="宋体" w:cs="Times New Roman"/>
                <w:sz w:val="18"/>
                <w:szCs w:val="18"/>
                <w:oMath/>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8</w:t>
            </w:r>
            <w:r>
              <w:rPr>
                <w:rFonts w:ascii="Times New Roman" w:hAnsi="Times New Roman" w:eastAsia="宋体" w:cs="Times New Roman"/>
                <w:sz w:val="18"/>
                <w:szCs w:val="18"/>
              </w:rPr>
              <w:t>）</w:t>
            </w:r>
          </w:p>
        </w:tc>
        <w:tc>
          <w:tcPr>
            <w:tcW w:w="2089" w:type="pct"/>
            <w:vMerge w:val="restart"/>
            <w:tcBorders>
              <w:tl2br w:val="nil"/>
              <w:tr2bl w:val="nil"/>
            </w:tcBorders>
            <w:vAlign w:val="center"/>
          </w:tcPr>
          <w:p w14:paraId="516A10B9">
            <w:pPr>
              <w:jc w:val="center"/>
              <w:rPr>
                <w:rFonts w:ascii="Times New Roman" w:hAnsi="Times New Roman" w:eastAsia="宋体" w:cs="Times New Roman"/>
                <w:sz w:val="18"/>
                <w:szCs w:val="18"/>
              </w:rPr>
            </w:pPr>
            <m:oMathPara>
              <m:oMath>
                <m:r>
                  <m:rPr>
                    <m:nor/>
                  </m:rPr>
                  <w:rPr>
                    <w:rFonts w:hint="eastAsia" w:ascii="Times New Roman" w:hAnsi="Times New Roman" w:eastAsia="宋体" w:cs="Times New Roman"/>
                    <w:i/>
                    <w:sz w:val="18"/>
                    <w:szCs w:val="18"/>
                  </w:rPr>
                  <m:t>M</m:t>
                </m:r>
                <m:r>
                  <m:rPr>
                    <m:nor/>
                    <m:sty m:val="p"/>
                  </m:rPr>
                  <w:rPr>
                    <w:rFonts w:hint="default" w:ascii="Times New Roman" w:hAnsi="Times New Roman" w:eastAsia="宋体" w:cs="Times New Roman"/>
                    <w:b w:val="0"/>
                    <w:i w:val="0"/>
                    <w:sz w:val="18"/>
                    <w:szCs w:val="18"/>
                    <w:lang w:val="en-US" w:eastAsia="zh-CN"/>
                  </w:rPr>
                  <m:t>5</m:t>
                </m:r>
                <m:r>
                  <m:rPr>
                    <m:nor/>
                  </m:rPr>
                  <w:rPr>
                    <w:rFonts w:ascii="Times New Roman" w:hAnsi="Times New Roman" w:eastAsia="宋体" w:cs="Times New Roman"/>
                    <w:i/>
                    <w:sz w:val="18"/>
                    <w:szCs w:val="18"/>
                  </w:rPr>
                  <m:t>Landfin</m:t>
                </m:r>
                <m:r>
                  <m:rPr>
                    <m:nor/>
                    <m:sty m:val="p"/>
                  </m:rPr>
                  <w:rPr>
                    <w:rFonts w:ascii="Times New Roman" w:hAnsi="Times New Roman" w:eastAsia="宋体" w:cs="Times New Roman"/>
                    <w:b w:val="0"/>
                    <w:i w:val="0"/>
                    <w:sz w:val="18"/>
                    <w:szCs w:val="18"/>
                  </w:rPr>
                  <m:t>×</m:t>
                </m:r>
                <m:r>
                  <m:rPr>
                    <m:nor/>
                  </m:rPr>
                  <w:rPr>
                    <w:rFonts w:ascii="Times New Roman" w:hAnsi="Times New Roman" w:eastAsia="宋体" w:cs="Times New Roman"/>
                    <w:i/>
                    <w:sz w:val="18"/>
                    <w:szCs w:val="18"/>
                  </w:rPr>
                  <m:t>Post</m:t>
                </m:r>
              </m:oMath>
            </m:oMathPara>
          </w:p>
        </w:tc>
        <w:tc>
          <w:tcPr>
            <w:tcW w:w="2090" w:type="pct"/>
            <w:tcBorders>
              <w:tl2br w:val="nil"/>
              <w:tr2bl w:val="nil"/>
            </w:tcBorders>
          </w:tcPr>
          <w:p w14:paraId="6D107015">
            <w:pPr>
              <w:jc w:val="center"/>
              <w:rPr>
                <w:rFonts w:ascii="Times New Roman" w:hAnsi="Times New Roman" w:eastAsia="宋体" w:cs="Times New Roman"/>
                <w:sz w:val="18"/>
                <w:szCs w:val="18"/>
              </w:rPr>
            </w:pPr>
            <w:r>
              <w:rPr>
                <w:rFonts w:ascii="Times New Roman" w:hAnsi="Times New Roman" w:cs="Times New Roman"/>
                <w:sz w:val="18"/>
                <w:szCs w:val="18"/>
              </w:rPr>
              <w:t>0.632</w:t>
            </w:r>
            <w:r>
              <w:rPr>
                <w:rFonts w:hint="eastAsia" w:ascii="Times New Roman" w:hAnsi="Times New Roman" w:cs="Times New Roman"/>
                <w:sz w:val="18"/>
                <w:szCs w:val="18"/>
              </w:rPr>
              <w:t>4</w:t>
            </w:r>
            <w:r>
              <w:rPr>
                <w:rFonts w:ascii="Times New Roman" w:hAnsi="Times New Roman" w:cs="Times New Roman"/>
                <w:sz w:val="18"/>
                <w:szCs w:val="18"/>
              </w:rPr>
              <w:t>***</w:t>
            </w:r>
          </w:p>
        </w:tc>
      </w:tr>
      <w:tr w14:paraId="71EDF0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0" w:type="pct"/>
            <w:vMerge w:val="continue"/>
            <w:tcBorders>
              <w:tl2br w:val="nil"/>
              <w:tr2bl w:val="nil"/>
            </w:tcBorders>
            <w:vAlign w:val="center"/>
          </w:tcPr>
          <w:p w14:paraId="26A22646">
            <w:pPr>
              <w:jc w:val="center"/>
              <w:rPr>
                <w:rFonts w:ascii="Times New Roman" w:hAnsi="Times New Roman" w:eastAsia="宋体" w:cs="Times New Roman"/>
                <w:sz w:val="18"/>
                <w:szCs w:val="18"/>
              </w:rPr>
            </w:pPr>
          </w:p>
        </w:tc>
        <w:tc>
          <w:tcPr>
            <w:tcW w:w="2089" w:type="pct"/>
            <w:vMerge w:val="continue"/>
            <w:tcBorders>
              <w:tl2br w:val="nil"/>
              <w:tr2bl w:val="nil"/>
            </w:tcBorders>
            <w:vAlign w:val="center"/>
          </w:tcPr>
          <w:p w14:paraId="35A30E1E">
            <w:pPr>
              <w:jc w:val="center"/>
              <w:rPr>
                <w:rFonts w:ascii="Times New Roman" w:hAnsi="Times New Roman" w:eastAsia="宋体" w:cs="Times New Roman"/>
                <w:sz w:val="18"/>
                <w:szCs w:val="18"/>
              </w:rPr>
            </w:pPr>
          </w:p>
        </w:tc>
        <w:tc>
          <w:tcPr>
            <w:tcW w:w="2090" w:type="pct"/>
            <w:tcBorders>
              <w:tl2br w:val="nil"/>
              <w:tr2bl w:val="nil"/>
            </w:tcBorders>
          </w:tcPr>
          <w:p w14:paraId="4B6161B3">
            <w:pPr>
              <w:jc w:val="center"/>
              <w:rPr>
                <w:rFonts w:ascii="Times New Roman" w:hAnsi="Times New Roman" w:eastAsia="宋体" w:cs="Times New Roman"/>
                <w:sz w:val="18"/>
                <w:szCs w:val="18"/>
              </w:rPr>
            </w:pPr>
            <w:r>
              <w:rPr>
                <w:rFonts w:ascii="Times New Roman" w:hAnsi="Times New Roman" w:cs="Times New Roman"/>
                <w:sz w:val="18"/>
                <w:szCs w:val="18"/>
              </w:rPr>
              <w:t>(0.041</w:t>
            </w:r>
            <w:r>
              <w:rPr>
                <w:rFonts w:hint="eastAsia" w:ascii="Times New Roman" w:hAnsi="Times New Roman" w:cs="Times New Roman"/>
                <w:sz w:val="18"/>
                <w:szCs w:val="18"/>
              </w:rPr>
              <w:t>3</w:t>
            </w:r>
            <w:r>
              <w:rPr>
                <w:rFonts w:ascii="Times New Roman" w:hAnsi="Times New Roman" w:cs="Times New Roman"/>
                <w:sz w:val="18"/>
                <w:szCs w:val="18"/>
              </w:rPr>
              <w:t>)</w:t>
            </w:r>
          </w:p>
        </w:tc>
      </w:tr>
    </w:tbl>
    <w:p w14:paraId="503D0F4B">
      <w:pPr>
        <w:ind w:firstLine="296" w:firstLineChars="200"/>
        <w:rPr>
          <w:rFonts w:ascii="Times New Roman" w:hAnsi="Times New Roman"/>
          <w:sz w:val="15"/>
          <w:szCs w:val="15"/>
        </w:rPr>
      </w:pPr>
      <w:r>
        <w:rPr>
          <w:rFonts w:hint="eastAsia" w:ascii="Times New Roman" w:hAnsi="Times New Roman"/>
          <w:sz w:val="15"/>
          <w:szCs w:val="15"/>
        </w:rPr>
        <w:t>注：所有回归均包含控制变量、城市固定效应和年份固定效应。</w:t>
      </w:r>
    </w:p>
    <w:p w14:paraId="51808A16">
      <w:pPr>
        <w:widowControl/>
        <w:ind w:firstLine="416" w:firstLineChars="200"/>
        <w:jc w:val="both"/>
        <w:rPr>
          <w:rFonts w:ascii="Times New Roman" w:hAnsi="Times New Roman" w:cs="Times New Roman"/>
        </w:rPr>
      </w:pPr>
      <w:r>
        <w:rPr>
          <w:rFonts w:hint="eastAsia" w:ascii="Times New Roman" w:hAnsi="Times New Roman"/>
          <w:szCs w:val="21"/>
        </w:rPr>
        <w:t>5.安慰剂检验。</w:t>
      </w:r>
      <w:r>
        <w:rPr>
          <w:rFonts w:hint="eastAsia" w:ascii="Times New Roman" w:hAnsi="Times New Roman" w:cs="Times New Roman"/>
        </w:rPr>
        <w:t>将与具体</w:t>
      </w:r>
      <w:r>
        <w:rPr>
          <w:rFonts w:ascii="Times New Roman" w:hAnsi="Times New Roman" w:cs="Times New Roman"/>
        </w:rPr>
        <w:t>城市</w:t>
      </w:r>
      <w:r>
        <w:rPr>
          <w:rFonts w:hint="eastAsia" w:ascii="Times New Roman" w:hAnsi="Times New Roman" w:cs="Times New Roman"/>
        </w:rPr>
        <w:t>一一对应的</w:t>
      </w:r>
      <w:r>
        <w:rPr>
          <w:rFonts w:ascii="Times New Roman" w:hAnsi="Times New Roman" w:cs="Times New Roman"/>
        </w:rPr>
        <w:t>土地金融</w:t>
      </w:r>
      <w:r>
        <w:rPr>
          <w:rFonts w:hint="eastAsia" w:ascii="Times New Roman" w:hAnsi="Times New Roman" w:cs="Times New Roman"/>
        </w:rPr>
        <w:t>累积</w:t>
      </w:r>
      <w:r>
        <w:rPr>
          <w:rFonts w:ascii="Times New Roman" w:hAnsi="Times New Roman" w:cs="Times New Roman"/>
        </w:rPr>
        <w:t>程度变</w:t>
      </w:r>
      <w:r>
        <w:rPr>
          <w:rFonts w:ascii="Times New Roman" w:hAnsi="Times New Roman" w:cs="Times New Roman"/>
          <w:szCs w:val="21"/>
        </w:rPr>
        <w:t>量</w:t>
      </w:r>
      <m:oMath>
        <m:r>
          <m:rPr/>
          <w:rPr>
            <w:rFonts w:ascii="Cambria Math" w:hAnsi="Cambria Math" w:eastAsia="仿宋" w:cs="Times New Roman"/>
            <w:szCs w:val="21"/>
          </w:rPr>
          <m:t>Landfin</m:t>
        </m:r>
      </m:oMath>
      <w:r>
        <w:rPr>
          <w:rFonts w:hint="eastAsia" w:ascii="Times New Roman" w:hAnsi="Times New Roman" w:cs="Times New Roman"/>
        </w:rPr>
        <w:t>随机打乱，即利用既有的城市土地金融累积程度数据，随机为城市分配</w:t>
      </w:r>
      <m:oMath>
        <m:r>
          <m:rPr/>
          <w:rPr>
            <w:rFonts w:ascii="Cambria Math" w:hAnsi="Cambria Math" w:eastAsia="仿宋" w:cs="Times New Roman"/>
            <w:szCs w:val="21"/>
          </w:rPr>
          <m:t>Landfin</m:t>
        </m:r>
      </m:oMath>
      <w:r>
        <w:rPr>
          <w:rFonts w:hint="eastAsia" w:hAnsi="Cambria Math" w:eastAsia="仿宋" w:cs="Times New Roman"/>
          <w:szCs w:val="21"/>
        </w:rPr>
        <w:t>，</w:t>
      </w:r>
      <w:r>
        <w:rPr>
          <w:rFonts w:hint="eastAsia" w:ascii="Times New Roman" w:hAnsi="Times New Roman" w:cs="Times New Roman"/>
        </w:rPr>
        <w:t>将其与</w:t>
      </w:r>
      <m:oMath>
        <m:r>
          <m:rPr/>
          <w:rPr>
            <w:rFonts w:ascii="Cambria Math" w:hAnsi="Cambria Math" w:cs="Times New Roman"/>
          </w:rPr>
          <m:t>Post</m:t>
        </m:r>
      </m:oMath>
      <w:r>
        <w:rPr>
          <w:rFonts w:hint="eastAsia" w:hAnsi="Cambria Math" w:cs="Times New Roman"/>
        </w:rPr>
        <w:t>组成新的交互项，利用式</w:t>
      </w:r>
      <w:r>
        <w:rPr>
          <w:rFonts w:hint="eastAsia" w:ascii="Times New Roman" w:hAnsi="Times New Roman" w:cs="Times New Roman"/>
        </w:rPr>
        <w:t>（1）进</w:t>
      </w:r>
      <w:r>
        <w:rPr>
          <w:rFonts w:hint="eastAsia" w:hAnsi="Cambria Math" w:cs="Times New Roman"/>
        </w:rPr>
        <w:t>行回归，</w:t>
      </w:r>
      <w:r>
        <w:rPr>
          <w:rFonts w:hint="eastAsia" w:ascii="Times New Roman" w:hAnsi="Times New Roman" w:cs="Times New Roman"/>
        </w:rPr>
        <w:t>重复进行1000次。附图1分别绘制了土地债务风险的1000次回归系数核密度图，从图中可以看出，系数均集中在0附近，呈对称分布，右侧虚线为基准回归真实估计系数，远远偏离随机处理后的回归系数分布区间，说明基准回归结果不太可能随机出现。安慰剂检验结果表明，基准回归结论并非偶然因素引起，说明2017年土地融资模式转变确实降低了城市土地债务风险。</w:t>
      </w:r>
    </w:p>
    <w:p w14:paraId="4B3E3FAA">
      <w:pPr>
        <w:jc w:val="center"/>
        <w:rPr>
          <w:rFonts w:ascii="Times New Roman" w:hAnsi="Times New Roman"/>
        </w:rPr>
      </w:pPr>
      <w:r>
        <w:rPr>
          <w:rFonts w:hint="eastAsia" w:ascii="Times New Roman" w:hAnsi="Times New Roman"/>
        </w:rPr>
        <w:drawing>
          <wp:inline distT="0" distB="0" distL="114300" distR="114300">
            <wp:extent cx="3042285" cy="2160270"/>
            <wp:effectExtent l="0" t="0" r="5715" b="11430"/>
            <wp:docPr id="2" name="图片 2"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raph"/>
                    <pic:cNvPicPr>
                      <a:picLocks noChangeAspect="1"/>
                    </pic:cNvPicPr>
                  </pic:nvPicPr>
                  <pic:blipFill>
                    <a:blip r:embed="rId6"/>
                    <a:srcRect l="6086" t="2830" r="1705" b="7153"/>
                    <a:stretch>
                      <a:fillRect/>
                    </a:stretch>
                  </pic:blipFill>
                  <pic:spPr>
                    <a:xfrm>
                      <a:off x="0" y="0"/>
                      <a:ext cx="3042285" cy="2160270"/>
                    </a:xfrm>
                    <a:prstGeom prst="rect">
                      <a:avLst/>
                    </a:prstGeom>
                  </pic:spPr>
                </pic:pic>
              </a:graphicData>
            </a:graphic>
          </wp:inline>
        </w:drawing>
      </w:r>
    </w:p>
    <w:p w14:paraId="2E1D3626">
      <w:pPr>
        <w:jc w:val="center"/>
        <w:rPr>
          <w:rFonts w:ascii="Times New Roman" w:hAnsi="Times New Roman" w:eastAsia="黑体" w:cs="黑体"/>
        </w:rPr>
      </w:pPr>
      <w:r>
        <w:rPr>
          <w:rFonts w:hint="eastAsia" w:ascii="Times New Roman" w:hAnsi="Times New Roman" w:eastAsia="黑体" w:cs="黑体"/>
        </w:rPr>
        <w:t>附图1  安慰剂检验</w:t>
      </w:r>
    </w:p>
    <w:p w14:paraId="31B31E08">
      <w:pPr>
        <w:widowControl/>
        <w:numPr>
          <w:ilvl w:val="255"/>
          <w:numId w:val="0"/>
        </w:numPr>
        <w:ind w:firstLine="416" w:firstLineChars="200"/>
        <w:jc w:val="both"/>
        <w:rPr>
          <w:rFonts w:ascii="Times New Roman" w:hAnsi="Times New Roman" w:cs="Times New Roman"/>
          <w:szCs w:val="21"/>
        </w:rPr>
      </w:pPr>
      <w:r>
        <w:rPr>
          <w:rFonts w:hint="eastAsia" w:ascii="Times New Roman" w:hAnsi="Times New Roman"/>
          <w:szCs w:val="21"/>
        </w:rPr>
        <w:t>6.排除其他政策影响。</w:t>
      </w:r>
      <w:r>
        <w:rPr>
          <w:rFonts w:hint="eastAsia" w:ascii="Times New Roman" w:hAnsi="Times New Roman" w:cs="Times New Roman"/>
          <w:szCs w:val="21"/>
        </w:rPr>
        <w:t>（1）地方政府债券自发代还和自发自还。地方政府</w:t>
      </w:r>
      <w:r>
        <w:rPr>
          <w:rFonts w:ascii="Times New Roman" w:hAnsi="Times New Roman" w:cs="Times New Roman"/>
          <w:szCs w:val="21"/>
        </w:rPr>
        <w:t>债券不同发还方式</w:t>
      </w:r>
      <w:r>
        <w:rPr>
          <w:rFonts w:hint="eastAsia" w:ascii="Times New Roman" w:hAnsi="Times New Roman" w:cs="Times New Roman"/>
          <w:szCs w:val="21"/>
        </w:rPr>
        <w:t>对</w:t>
      </w:r>
      <w:r>
        <w:rPr>
          <w:rFonts w:ascii="Times New Roman" w:hAnsi="Times New Roman" w:cs="Times New Roman"/>
          <w:szCs w:val="21"/>
        </w:rPr>
        <w:t>地方财政可持续和地方财政风险影响不同（</w:t>
      </w:r>
      <w:r>
        <w:rPr>
          <w:rFonts w:hint="eastAsia" w:ascii="Times New Roman" w:hAnsi="Times New Roman" w:cs="Times New Roman"/>
          <w:szCs w:val="21"/>
        </w:rPr>
        <w:t>吕炜等</w:t>
      </w:r>
      <w:r>
        <w:rPr>
          <w:rFonts w:ascii="Times New Roman" w:hAnsi="Times New Roman" w:cs="Times New Roman"/>
          <w:szCs w:val="21"/>
        </w:rPr>
        <w:t>，</w:t>
      </w:r>
      <w:r>
        <w:rPr>
          <w:rFonts w:hint="eastAsia" w:ascii="Times New Roman" w:hAnsi="Times New Roman" w:cs="Times New Roman"/>
          <w:szCs w:val="21"/>
        </w:rPr>
        <w:t>2019</w:t>
      </w:r>
      <w:r>
        <w:rPr>
          <w:rFonts w:ascii="Times New Roman" w:hAnsi="Times New Roman" w:cs="Times New Roman"/>
          <w:szCs w:val="21"/>
        </w:rPr>
        <w:t>）</w:t>
      </w:r>
      <w:r>
        <w:rPr>
          <w:rFonts w:hint="eastAsia" w:ascii="Times New Roman" w:hAnsi="Times New Roman" w:cs="Times New Roman"/>
          <w:szCs w:val="21"/>
        </w:rPr>
        <w:t>，可能对</w:t>
      </w:r>
      <w:r>
        <w:rPr>
          <w:rFonts w:ascii="Times New Roman" w:hAnsi="Times New Roman" w:cs="Times New Roman"/>
          <w:szCs w:val="21"/>
        </w:rPr>
        <w:t>地方政府土地</w:t>
      </w:r>
      <w:r>
        <w:rPr>
          <w:rFonts w:hint="eastAsia" w:ascii="Times New Roman" w:hAnsi="Times New Roman" w:cs="Times New Roman"/>
          <w:szCs w:val="21"/>
        </w:rPr>
        <w:t>债务风险</w:t>
      </w:r>
      <w:r>
        <w:rPr>
          <w:rFonts w:ascii="Times New Roman" w:hAnsi="Times New Roman" w:cs="Times New Roman"/>
          <w:szCs w:val="21"/>
        </w:rPr>
        <w:t>产生影响。</w:t>
      </w:r>
      <w:r>
        <w:rPr>
          <w:rFonts w:hint="eastAsia" w:ascii="Times New Roman" w:hAnsi="Times New Roman" w:cs="Times New Roman"/>
          <w:szCs w:val="21"/>
        </w:rPr>
        <w:t>本文按照改革时间生成自发代还（</w:t>
      </w:r>
      <w:r>
        <w:rPr>
          <w:rFonts w:hint="eastAsia" w:ascii="Times New Roman" w:hAnsi="Times New Roman" w:cs="Times New Roman"/>
          <w:i/>
          <w:iCs/>
          <w:szCs w:val="21"/>
        </w:rPr>
        <w:t>zfdh</w:t>
      </w:r>
      <w:r>
        <w:rPr>
          <w:rFonts w:hint="eastAsia" w:ascii="Times New Roman" w:hAnsi="Times New Roman" w:cs="Times New Roman"/>
          <w:szCs w:val="21"/>
        </w:rPr>
        <w:t>）和自发自还（</w:t>
      </w:r>
      <w:r>
        <w:rPr>
          <w:rFonts w:hint="eastAsia" w:ascii="Times New Roman" w:hAnsi="Times New Roman" w:cs="Times New Roman"/>
          <w:i/>
          <w:iCs/>
          <w:szCs w:val="21"/>
        </w:rPr>
        <w:t>zfzh</w:t>
      </w:r>
      <w:r>
        <w:rPr>
          <w:rFonts w:hint="eastAsia" w:ascii="Times New Roman" w:hAnsi="Times New Roman" w:cs="Times New Roman"/>
          <w:szCs w:val="21"/>
        </w:rPr>
        <w:t>）变量作为控制变量。回归结果为附表4列（1）（2），</w:t>
      </w:r>
      <m:oMath>
        <m:r>
          <m:rPr/>
          <w:rPr>
            <w:rFonts w:ascii="Cambria Math" w:hAnsi="Cambria Math" w:cs="Times New Roman"/>
            <w:szCs w:val="21"/>
          </w:rPr>
          <m:t>Landfin×Post</m:t>
        </m:r>
      </m:oMath>
      <w:r>
        <w:rPr>
          <w:rFonts w:hint="eastAsia" w:hAnsi="Cambria Math" w:cs="Times New Roman"/>
          <w:szCs w:val="21"/>
        </w:rPr>
        <w:t>的系数</w:t>
      </w:r>
      <w:r>
        <w:rPr>
          <w:rFonts w:hint="eastAsia" w:ascii="Times New Roman" w:hAnsi="Times New Roman" w:cs="Times New Roman"/>
          <w:szCs w:val="21"/>
        </w:rPr>
        <w:t>均</w:t>
      </w:r>
      <w:r>
        <w:rPr>
          <w:rFonts w:hint="eastAsia" w:hAnsi="Cambria Math" w:cs="Times New Roman"/>
          <w:szCs w:val="21"/>
        </w:rPr>
        <w:t>显著为正，土地融资模式转变</w:t>
      </w:r>
      <w:r>
        <w:rPr>
          <w:rFonts w:hint="eastAsia" w:ascii="Times New Roman" w:hAnsi="Times New Roman" w:cs="Times New Roman"/>
          <w:szCs w:val="21"/>
        </w:rPr>
        <w:t>降低</w:t>
      </w:r>
      <w:r>
        <w:rPr>
          <w:rFonts w:hint="eastAsia" w:hAnsi="Cambria Math" w:cs="Times New Roman"/>
          <w:szCs w:val="21"/>
        </w:rPr>
        <w:t>了地方政府土地</w:t>
      </w:r>
      <w:r>
        <w:rPr>
          <w:rFonts w:hint="eastAsia" w:ascii="Times New Roman" w:hAnsi="Times New Roman" w:cs="Times New Roman"/>
          <w:szCs w:val="21"/>
        </w:rPr>
        <w:t>债务风险</w:t>
      </w:r>
      <w:r>
        <w:rPr>
          <w:rFonts w:hint="eastAsia" w:hAnsi="Cambria Math" w:cs="Times New Roman"/>
          <w:szCs w:val="21"/>
        </w:rPr>
        <w:t>，说明基准结论不受地方政府债券自发代还</w:t>
      </w:r>
      <w:r>
        <w:rPr>
          <w:rFonts w:hint="eastAsia" w:ascii="Times New Roman" w:hAnsi="Times New Roman" w:cs="Times New Roman"/>
          <w:szCs w:val="21"/>
        </w:rPr>
        <w:t>和自发自还</w:t>
      </w:r>
      <w:r>
        <w:rPr>
          <w:rFonts w:hint="eastAsia" w:hAnsi="Cambria Math" w:cs="Times New Roman"/>
          <w:szCs w:val="21"/>
        </w:rPr>
        <w:t>的影响。</w:t>
      </w:r>
      <w:r>
        <w:rPr>
          <w:rFonts w:hint="eastAsia" w:ascii="Times New Roman" w:hAnsi="Times New Roman" w:cs="Times New Roman"/>
          <w:szCs w:val="21"/>
        </w:rPr>
        <w:t>（2）新《预算法》实施。以2015年1月1日新《预算法》实施为标志，我国的债务管理体制改革进入了新时期，为了排除新《预算法》实施的影响，本文删除了2015年之前数据。回归结果为附表4列（3），可以发现，</w:t>
      </w:r>
      <m:oMath>
        <m:r>
          <m:rPr/>
          <w:rPr>
            <w:rFonts w:ascii="Times New Roman" w:hAnsi="Times New Roman" w:cs="Times New Roman"/>
            <w:szCs w:val="21"/>
          </w:rPr>
          <m:t>Landfin×Post</m:t>
        </m:r>
      </m:oMath>
      <w:r>
        <w:rPr>
          <w:rFonts w:hint="eastAsia" w:ascii="Times New Roman" w:hAnsi="Times New Roman" w:cs="Times New Roman"/>
          <w:szCs w:val="21"/>
        </w:rPr>
        <w:t>的系数显著为正，说明排除新《预算法》改革的影响后，基准结论仍稳健成立。（3）债务置换。在地方政府债务管理体制改革进程中，债务置换成为化解地方政府存量表外债务的主要举措（李志生等，2024）。本文借鉴邱志刚等（2022）的做法，将发行置换债券额对数（</w:t>
      </w:r>
      <w:r>
        <w:rPr>
          <w:rFonts w:hint="eastAsia" w:ascii="Times New Roman" w:hAnsi="Times New Roman" w:cs="Times New Roman"/>
          <w:i/>
          <w:iCs/>
          <w:szCs w:val="21"/>
        </w:rPr>
        <w:t>Replace</w:t>
      </w:r>
      <w:r>
        <w:rPr>
          <w:rFonts w:hint="eastAsia" w:ascii="Times New Roman" w:hAnsi="Times New Roman" w:cs="Times New Roman"/>
          <w:szCs w:val="21"/>
        </w:rPr>
        <w:t>）作为控制变量。回归结果为附表4列（4），可以发现</w:t>
      </w:r>
      <m:oMath>
        <m:r>
          <m:rPr/>
          <w:rPr>
            <w:rFonts w:ascii="Times New Roman" w:hAnsi="Times New Roman" w:cs="Times New Roman"/>
            <w:szCs w:val="21"/>
          </w:rPr>
          <m:t>Landfin×Post</m:t>
        </m:r>
      </m:oMath>
      <w:r>
        <w:rPr>
          <w:rFonts w:hint="eastAsia" w:ascii="Times New Roman" w:hAnsi="Times New Roman" w:cs="Times New Roman"/>
          <w:szCs w:val="21"/>
        </w:rPr>
        <w:t>的系数显著为正，说明在排除债务置换的影响后，土地融资模式转变降低城市土地债务风险的基准结论仍然成立。（4）地方政府债务限额。规范地方政府债务管理的另一重要举措是对地方政府债务余额实行限额管理，年度地方政府债务限额等于上年地方政府债务限额加上当年新增债务限额，具体分为一般债务限额和专项债务限额。地方政府债务限额能够反映本地区财力水平、举债空间、债务风险、债务管理绩效等，能够衡量本地区债务治理和债务风险防控的水平。附表4列（5）中控制了一般债务限额对数（</w:t>
      </w:r>
      <w:r>
        <w:rPr>
          <w:rFonts w:hint="eastAsia" w:ascii="Times New Roman" w:hAnsi="Times New Roman" w:cs="Times New Roman"/>
          <w:i/>
          <w:iCs/>
          <w:szCs w:val="21"/>
        </w:rPr>
        <w:t>debtlimit_G</w:t>
      </w:r>
      <w:r>
        <w:rPr>
          <w:rFonts w:hint="eastAsia" w:ascii="Times New Roman" w:hAnsi="Times New Roman" w:cs="Times New Roman"/>
          <w:szCs w:val="21"/>
        </w:rPr>
        <w:t>）和专项债务限额对数（</w:t>
      </w:r>
      <w:r>
        <w:rPr>
          <w:rFonts w:hint="eastAsia" w:ascii="Times New Roman" w:hAnsi="Times New Roman" w:cs="Times New Roman"/>
          <w:i/>
          <w:iCs/>
          <w:szCs w:val="21"/>
        </w:rPr>
        <w:t>debtlimit_S</w:t>
      </w:r>
      <w:r>
        <w:rPr>
          <w:rFonts w:hint="eastAsia" w:ascii="Times New Roman" w:hAnsi="Times New Roman" w:cs="Times New Roman"/>
          <w:szCs w:val="21"/>
        </w:rPr>
        <w:t>），可以发现，</w:t>
      </w:r>
      <m:oMath>
        <m:r>
          <m:rPr/>
          <w:rPr>
            <w:rFonts w:ascii="Times New Roman" w:hAnsi="Times New Roman" w:cs="Times New Roman"/>
            <w:szCs w:val="21"/>
          </w:rPr>
          <m:t>Landfin×Post</m:t>
        </m:r>
      </m:oMath>
      <w:r>
        <w:rPr>
          <w:rFonts w:hint="eastAsia" w:ascii="Times New Roman" w:hAnsi="Times New Roman" w:cs="Times New Roman"/>
          <w:szCs w:val="21"/>
        </w:rPr>
        <w:t>的系数显著为正，说明本文结论不受债务限额管理的影响。（5）营业税改征增值税和增值税税率下调。除了债务管理政策外，同时期可能还存在其他财税政策影响城市土地债务风险。营业税改征增值税（以下简称“营改增”）会影响城市用地配置（张莉等，2022）。增值税税率下调导致的地方政府财政压力可能影响地方政府债务。为了排除两项政策对本文结论的影响，本文在控制变量中加入各城市“营改增”实施时间虚拟变量（</w:t>
      </w:r>
      <w:r>
        <w:rPr>
          <w:rFonts w:ascii="Times New Roman" w:hAnsi="Times New Roman" w:cs="Times New Roman"/>
          <w:i/>
          <w:iCs/>
          <w:szCs w:val="21"/>
        </w:rPr>
        <w:t>VAT</w:t>
      </w:r>
      <w:r>
        <w:rPr>
          <w:rFonts w:hint="eastAsia" w:ascii="Times New Roman" w:hAnsi="Times New Roman" w:cs="Times New Roman"/>
          <w:szCs w:val="21"/>
        </w:rPr>
        <w:t>）和增值税占一般公共预算收入比重（</w:t>
      </w:r>
      <w:r>
        <w:rPr>
          <w:rFonts w:ascii="Times New Roman" w:hAnsi="Times New Roman" w:cs="Times New Roman"/>
          <w:i/>
          <w:iCs/>
          <w:szCs w:val="21"/>
        </w:rPr>
        <w:t>VAT</w:t>
      </w:r>
      <w:r>
        <w:rPr>
          <w:rFonts w:hint="eastAsia" w:ascii="Times New Roman" w:hAnsi="Times New Roman" w:cs="Times New Roman"/>
          <w:i/>
          <w:iCs/>
          <w:szCs w:val="21"/>
        </w:rPr>
        <w:t>rate</w:t>
      </w:r>
      <w:r>
        <w:rPr>
          <w:rFonts w:hint="eastAsia" w:ascii="Times New Roman" w:hAnsi="Times New Roman" w:cs="Times New Roman"/>
          <w:szCs w:val="21"/>
        </w:rPr>
        <w:t>）。</w:t>
      </w:r>
      <w:r>
        <w:rPr>
          <w:rFonts w:ascii="Times New Roman" w:hAnsi="Times New Roman" w:cs="Times New Roman"/>
          <w:szCs w:val="21"/>
        </w:rPr>
        <w:t>回归结果为</w:t>
      </w:r>
      <w:r>
        <w:rPr>
          <w:rFonts w:hint="eastAsia" w:ascii="Times New Roman" w:hAnsi="Times New Roman" w:cs="Times New Roman"/>
          <w:szCs w:val="21"/>
        </w:rPr>
        <w:t>附表4列（</w:t>
      </w:r>
      <w:r>
        <w:rPr>
          <w:rFonts w:ascii="Times New Roman" w:hAnsi="Times New Roman" w:cs="Times New Roman"/>
          <w:szCs w:val="21"/>
        </w:rPr>
        <w:t>6</w:t>
      </w:r>
      <w:r>
        <w:rPr>
          <w:rFonts w:hint="eastAsia" w:ascii="Times New Roman" w:hAnsi="Times New Roman" w:cs="Times New Roman"/>
          <w:szCs w:val="21"/>
        </w:rPr>
        <w:t>）（7），可以发现排除“营改增”和增值税税率的影响后，</w:t>
      </w:r>
      <m:oMath>
        <m:r>
          <m:rPr/>
          <w:rPr>
            <w:rFonts w:ascii="Times New Roman" w:hAnsi="Times New Roman" w:cs="Times New Roman"/>
            <w:szCs w:val="21"/>
          </w:rPr>
          <m:t>Landfin×Post</m:t>
        </m:r>
      </m:oMath>
      <w:r>
        <w:rPr>
          <w:rFonts w:hint="eastAsia" w:ascii="Times New Roman" w:hAnsi="Times New Roman" w:cs="Times New Roman"/>
          <w:szCs w:val="21"/>
        </w:rPr>
        <w:t>的系数依然显著为正，所得结论与基准结论一致，即土地融资模式转变降低了地方政府土地债务风险。</w:t>
      </w:r>
    </w:p>
    <w:p w14:paraId="3F93E4A9">
      <w:pPr>
        <w:jc w:val="center"/>
        <w:rPr>
          <w:rFonts w:ascii="Times New Roman" w:hAnsi="Times New Roman" w:eastAsia="黑体" w:cs="黑体"/>
        </w:rPr>
      </w:pPr>
      <w:r>
        <w:rPr>
          <w:rFonts w:hint="eastAsia" w:ascii="Times New Roman" w:hAnsi="Times New Roman" w:eastAsia="黑体" w:cs="黑体"/>
        </w:rPr>
        <w:t>附表4  排除其他政策影响</w:t>
      </w:r>
    </w:p>
    <w:tbl>
      <w:tblPr>
        <w:tblStyle w:val="5"/>
        <w:tblW w:w="4998" w:type="pct"/>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1505"/>
        <w:gridCol w:w="1002"/>
        <w:gridCol w:w="1003"/>
        <w:gridCol w:w="1003"/>
        <w:gridCol w:w="1003"/>
        <w:gridCol w:w="1003"/>
        <w:gridCol w:w="1003"/>
        <w:gridCol w:w="1003"/>
      </w:tblGrid>
      <w:tr w14:paraId="40881A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505" w:type="dxa"/>
            <w:vMerge w:val="restart"/>
            <w:tcBorders>
              <w:bottom w:val="single" w:color="auto" w:sz="4" w:space="0"/>
            </w:tcBorders>
            <w:vAlign w:val="center"/>
          </w:tcPr>
          <w:p w14:paraId="27B7F360">
            <w:pPr>
              <w:jc w:val="center"/>
              <w:rPr>
                <w:rFonts w:ascii="Times New Roman" w:hAnsi="Times New Roman" w:eastAsia="宋体"/>
                <w:sz w:val="18"/>
                <w:szCs w:val="18"/>
              </w:rPr>
            </w:pPr>
            <w:r>
              <w:rPr>
                <w:rFonts w:ascii="Times New Roman" w:hAnsi="Times New Roman" w:eastAsia="宋体" w:cs="Times New Roman"/>
                <w:sz w:val="18"/>
                <w:szCs w:val="18"/>
              </w:rPr>
              <w:t>变量</w:t>
            </w:r>
          </w:p>
        </w:tc>
        <w:tc>
          <w:tcPr>
            <w:tcW w:w="1002" w:type="dxa"/>
            <w:tcBorders>
              <w:bottom w:val="single" w:color="auto" w:sz="4" w:space="0"/>
            </w:tcBorders>
            <w:vAlign w:val="center"/>
          </w:tcPr>
          <w:p w14:paraId="57006465">
            <w:pPr>
              <w:jc w:val="center"/>
              <w:rPr>
                <w:rFonts w:ascii="Times New Roman" w:hAnsi="Times New Roman" w:eastAsia="宋体"/>
                <w:sz w:val="18"/>
                <w:szCs w:val="18"/>
              </w:rPr>
            </w:pPr>
            <w:r>
              <w:rPr>
                <w:rFonts w:hint="eastAsia" w:ascii="Times New Roman" w:hAnsi="Times New Roman" w:eastAsia="宋体" w:cs="Times New Roman"/>
                <w:sz w:val="18"/>
                <w:szCs w:val="18"/>
              </w:rPr>
              <w:t>（1）</w:t>
            </w:r>
          </w:p>
        </w:tc>
        <w:tc>
          <w:tcPr>
            <w:tcW w:w="1002" w:type="dxa"/>
            <w:tcBorders>
              <w:bottom w:val="single" w:color="auto" w:sz="4" w:space="0"/>
            </w:tcBorders>
            <w:vAlign w:val="center"/>
          </w:tcPr>
          <w:p w14:paraId="45184B36">
            <w:pPr>
              <w:jc w:val="center"/>
              <w:rPr>
                <w:rFonts w:ascii="Times New Roman" w:hAnsi="Times New Roman" w:eastAsia="宋体"/>
                <w:sz w:val="18"/>
                <w:szCs w:val="18"/>
              </w:rPr>
            </w:pPr>
            <w:r>
              <w:rPr>
                <w:rFonts w:hint="eastAsia" w:ascii="Times New Roman" w:hAnsi="Times New Roman" w:eastAsia="宋体" w:cs="Times New Roman"/>
                <w:sz w:val="18"/>
                <w:szCs w:val="18"/>
              </w:rPr>
              <w:t>（2）</w:t>
            </w:r>
          </w:p>
        </w:tc>
        <w:tc>
          <w:tcPr>
            <w:tcW w:w="1002" w:type="dxa"/>
            <w:tcBorders>
              <w:bottom w:val="single" w:color="auto" w:sz="4" w:space="0"/>
            </w:tcBorders>
            <w:vAlign w:val="center"/>
          </w:tcPr>
          <w:p w14:paraId="500A2C42">
            <w:pPr>
              <w:jc w:val="center"/>
              <w:rPr>
                <w:rFonts w:ascii="Times New Roman" w:hAnsi="Times New Roman" w:eastAsia="宋体"/>
                <w:sz w:val="18"/>
                <w:szCs w:val="18"/>
              </w:rPr>
            </w:pPr>
            <w:r>
              <w:rPr>
                <w:rFonts w:hint="eastAsia" w:ascii="Times New Roman" w:hAnsi="Times New Roman" w:eastAsia="宋体" w:cs="Times New Roman"/>
                <w:sz w:val="18"/>
                <w:szCs w:val="18"/>
              </w:rPr>
              <w:t>（3）</w:t>
            </w:r>
          </w:p>
        </w:tc>
        <w:tc>
          <w:tcPr>
            <w:tcW w:w="1002" w:type="dxa"/>
            <w:tcBorders>
              <w:bottom w:val="single" w:color="auto" w:sz="4" w:space="0"/>
            </w:tcBorders>
            <w:vAlign w:val="center"/>
          </w:tcPr>
          <w:p w14:paraId="3150D16B">
            <w:pPr>
              <w:jc w:val="center"/>
              <w:rPr>
                <w:rFonts w:ascii="Times New Roman" w:hAnsi="Times New Roman" w:eastAsia="宋体"/>
                <w:sz w:val="18"/>
                <w:szCs w:val="18"/>
              </w:rPr>
            </w:pPr>
            <w:r>
              <w:rPr>
                <w:rFonts w:hint="eastAsia" w:ascii="Times New Roman" w:hAnsi="Times New Roman" w:eastAsia="宋体" w:cs="Times New Roman"/>
                <w:sz w:val="18"/>
                <w:szCs w:val="18"/>
              </w:rPr>
              <w:t>（4）</w:t>
            </w:r>
          </w:p>
        </w:tc>
        <w:tc>
          <w:tcPr>
            <w:tcW w:w="1002" w:type="dxa"/>
            <w:tcBorders>
              <w:bottom w:val="single" w:color="auto" w:sz="4" w:space="0"/>
            </w:tcBorders>
            <w:vAlign w:val="center"/>
          </w:tcPr>
          <w:p w14:paraId="047ECFDD">
            <w:pPr>
              <w:jc w:val="center"/>
              <w:rPr>
                <w:rFonts w:ascii="Times New Roman" w:hAnsi="Times New Roman" w:eastAsia="宋体"/>
                <w:sz w:val="18"/>
                <w:szCs w:val="18"/>
              </w:rPr>
            </w:pPr>
            <w:r>
              <w:rPr>
                <w:rFonts w:hint="eastAsia" w:ascii="Times New Roman" w:hAnsi="Times New Roman" w:eastAsia="宋体" w:cs="Times New Roman"/>
                <w:sz w:val="18"/>
                <w:szCs w:val="18"/>
              </w:rPr>
              <w:t>（5）</w:t>
            </w:r>
          </w:p>
        </w:tc>
        <w:tc>
          <w:tcPr>
            <w:tcW w:w="1002" w:type="dxa"/>
            <w:tcBorders>
              <w:bottom w:val="single" w:color="auto" w:sz="4" w:space="0"/>
            </w:tcBorders>
            <w:vAlign w:val="center"/>
          </w:tcPr>
          <w:p w14:paraId="0FF90A89">
            <w:pPr>
              <w:jc w:val="center"/>
              <w:rPr>
                <w:rFonts w:ascii="Times New Roman" w:hAnsi="Times New Roman" w:eastAsia="宋体"/>
                <w:sz w:val="18"/>
                <w:szCs w:val="18"/>
              </w:rPr>
            </w:pPr>
            <w:r>
              <w:rPr>
                <w:rFonts w:hint="eastAsia" w:ascii="Times New Roman" w:hAnsi="Times New Roman" w:eastAsia="宋体" w:cs="Times New Roman"/>
                <w:sz w:val="18"/>
                <w:szCs w:val="18"/>
              </w:rPr>
              <w:t>（6）</w:t>
            </w:r>
          </w:p>
        </w:tc>
        <w:tc>
          <w:tcPr>
            <w:tcW w:w="1002" w:type="dxa"/>
            <w:tcBorders>
              <w:bottom w:val="single" w:color="auto" w:sz="4" w:space="0"/>
            </w:tcBorders>
            <w:vAlign w:val="center"/>
          </w:tcPr>
          <w:p w14:paraId="6015D48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（7）</w:t>
            </w:r>
          </w:p>
        </w:tc>
      </w:tr>
      <w:tr w14:paraId="2D0DD2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505" w:type="dxa"/>
            <w:vMerge w:val="continue"/>
            <w:tcBorders>
              <w:top w:val="single" w:color="auto" w:sz="4" w:space="0"/>
              <w:bottom w:val="single" w:color="auto" w:sz="4" w:space="0"/>
            </w:tcBorders>
          </w:tcPr>
          <w:p w14:paraId="406FCB06">
            <w:pPr>
              <w:jc w:val="left"/>
              <w:rPr>
                <w:rFonts w:ascii="Times New Roman" w:hAnsi="Times New Roman" w:eastAsia="宋体"/>
                <w:sz w:val="18"/>
                <w:szCs w:val="18"/>
              </w:rPr>
            </w:pPr>
          </w:p>
        </w:tc>
        <w:tc>
          <w:tcPr>
            <w:tcW w:w="1002" w:type="dxa"/>
            <w:tcBorders>
              <w:top w:val="single" w:color="auto" w:sz="4" w:space="0"/>
              <w:bottom w:val="single" w:color="auto" w:sz="4" w:space="0"/>
            </w:tcBorders>
            <w:vAlign w:val="center"/>
          </w:tcPr>
          <w:p w14:paraId="1BCC6E50">
            <w:pPr>
              <w:jc w:val="center"/>
              <w:rPr>
                <w:rFonts w:ascii="Times New Roman" w:hAnsi="Times New Roman" w:eastAsia="宋体"/>
                <w:sz w:val="18"/>
                <w:szCs w:val="18"/>
              </w:rPr>
            </w:pPr>
            <w:r>
              <w:rPr>
                <w:rFonts w:ascii="Times New Roman" w:hAnsi="Times New Roman" w:cs="Times New Roman"/>
                <w:i/>
                <w:iCs/>
                <w:sz w:val="18"/>
                <w:szCs w:val="18"/>
              </w:rPr>
              <w:t>Risk</w:t>
            </w:r>
          </w:p>
        </w:tc>
        <w:tc>
          <w:tcPr>
            <w:tcW w:w="1002" w:type="dxa"/>
            <w:tcBorders>
              <w:top w:val="single" w:color="auto" w:sz="4" w:space="0"/>
              <w:bottom w:val="single" w:color="auto" w:sz="4" w:space="0"/>
            </w:tcBorders>
            <w:vAlign w:val="center"/>
          </w:tcPr>
          <w:p w14:paraId="0CB0B155">
            <w:pPr>
              <w:jc w:val="center"/>
              <w:rPr>
                <w:rFonts w:ascii="Times New Roman" w:hAnsi="Times New Roman" w:eastAsia="宋体"/>
                <w:sz w:val="18"/>
                <w:szCs w:val="18"/>
              </w:rPr>
            </w:pPr>
            <w:r>
              <w:rPr>
                <w:rFonts w:ascii="Times New Roman" w:hAnsi="Times New Roman" w:cs="Times New Roman"/>
                <w:i/>
                <w:iCs/>
                <w:sz w:val="18"/>
                <w:szCs w:val="18"/>
              </w:rPr>
              <w:t>Risk</w:t>
            </w:r>
          </w:p>
        </w:tc>
        <w:tc>
          <w:tcPr>
            <w:tcW w:w="1002" w:type="dxa"/>
            <w:tcBorders>
              <w:top w:val="single" w:color="auto" w:sz="4" w:space="0"/>
              <w:bottom w:val="single" w:color="auto" w:sz="4" w:space="0"/>
            </w:tcBorders>
            <w:vAlign w:val="center"/>
          </w:tcPr>
          <w:p w14:paraId="718FBB2E">
            <w:pPr>
              <w:jc w:val="center"/>
              <w:rPr>
                <w:rFonts w:ascii="Times New Roman" w:hAnsi="Times New Roman" w:eastAsia="宋体"/>
                <w:sz w:val="18"/>
                <w:szCs w:val="18"/>
              </w:rPr>
            </w:pPr>
            <w:r>
              <w:rPr>
                <w:rFonts w:ascii="Times New Roman" w:hAnsi="Times New Roman" w:cs="Times New Roman"/>
                <w:i/>
                <w:iCs/>
                <w:sz w:val="18"/>
                <w:szCs w:val="18"/>
              </w:rPr>
              <w:t>Risk</w:t>
            </w:r>
          </w:p>
        </w:tc>
        <w:tc>
          <w:tcPr>
            <w:tcW w:w="1002" w:type="dxa"/>
            <w:tcBorders>
              <w:top w:val="single" w:color="auto" w:sz="4" w:space="0"/>
              <w:bottom w:val="single" w:color="auto" w:sz="4" w:space="0"/>
            </w:tcBorders>
            <w:vAlign w:val="center"/>
          </w:tcPr>
          <w:p w14:paraId="320CC17B">
            <w:pPr>
              <w:jc w:val="center"/>
              <w:rPr>
                <w:rFonts w:ascii="Times New Roman" w:hAnsi="Times New Roman" w:eastAsia="宋体"/>
                <w:sz w:val="18"/>
                <w:szCs w:val="18"/>
              </w:rPr>
            </w:pPr>
            <w:r>
              <w:rPr>
                <w:rFonts w:ascii="Times New Roman" w:hAnsi="Times New Roman" w:cs="Times New Roman"/>
                <w:i/>
                <w:iCs/>
                <w:sz w:val="18"/>
                <w:szCs w:val="18"/>
              </w:rPr>
              <w:t>Risk</w:t>
            </w:r>
          </w:p>
        </w:tc>
        <w:tc>
          <w:tcPr>
            <w:tcW w:w="1002" w:type="dxa"/>
            <w:tcBorders>
              <w:top w:val="single" w:color="auto" w:sz="4" w:space="0"/>
              <w:bottom w:val="single" w:color="auto" w:sz="4" w:space="0"/>
            </w:tcBorders>
            <w:vAlign w:val="center"/>
          </w:tcPr>
          <w:p w14:paraId="2E676992">
            <w:pPr>
              <w:jc w:val="center"/>
              <w:rPr>
                <w:rFonts w:ascii="Times New Roman" w:hAnsi="Times New Roman" w:eastAsia="宋体"/>
                <w:sz w:val="18"/>
                <w:szCs w:val="18"/>
              </w:rPr>
            </w:pPr>
            <w:r>
              <w:rPr>
                <w:rFonts w:ascii="Times New Roman" w:hAnsi="Times New Roman" w:cs="Times New Roman"/>
                <w:i/>
                <w:iCs/>
                <w:sz w:val="18"/>
                <w:szCs w:val="18"/>
              </w:rPr>
              <w:t>Risk</w:t>
            </w:r>
          </w:p>
        </w:tc>
        <w:tc>
          <w:tcPr>
            <w:tcW w:w="1002" w:type="dxa"/>
            <w:tcBorders>
              <w:top w:val="single" w:color="auto" w:sz="4" w:space="0"/>
              <w:bottom w:val="single" w:color="auto" w:sz="4" w:space="0"/>
            </w:tcBorders>
            <w:vAlign w:val="center"/>
          </w:tcPr>
          <w:p w14:paraId="5049D05E">
            <w:pPr>
              <w:jc w:val="center"/>
              <w:rPr>
                <w:rFonts w:ascii="Times New Roman" w:hAnsi="Times New Roman" w:eastAsia="宋体"/>
                <w:sz w:val="18"/>
                <w:szCs w:val="18"/>
              </w:rPr>
            </w:pPr>
            <w:r>
              <w:rPr>
                <w:rFonts w:ascii="Times New Roman" w:hAnsi="Times New Roman" w:cs="Times New Roman"/>
                <w:i/>
                <w:iCs/>
                <w:sz w:val="18"/>
                <w:szCs w:val="18"/>
              </w:rPr>
              <w:t>Risk</w:t>
            </w:r>
          </w:p>
        </w:tc>
        <w:tc>
          <w:tcPr>
            <w:tcW w:w="1002" w:type="dxa"/>
            <w:tcBorders>
              <w:top w:val="single" w:color="auto" w:sz="4" w:space="0"/>
              <w:bottom w:val="single" w:color="auto" w:sz="4" w:space="0"/>
            </w:tcBorders>
            <w:vAlign w:val="center"/>
          </w:tcPr>
          <w:p w14:paraId="3ACB872E">
            <w:pPr>
              <w:jc w:val="center"/>
              <w:rPr>
                <w:rFonts w:ascii="Times New Roman" w:hAnsi="Times New Roman" w:eastAsia="宋体" w:cs="Times New Roman"/>
                <w:sz w:val="18"/>
                <w:szCs w:val="18"/>
              </w:rPr>
            </w:pPr>
            <w:r>
              <w:rPr>
                <w:rFonts w:ascii="Times New Roman" w:hAnsi="Times New Roman" w:cs="Times New Roman"/>
                <w:i/>
                <w:iCs/>
                <w:sz w:val="18"/>
                <w:szCs w:val="18"/>
              </w:rPr>
              <w:t>Risk</w:t>
            </w:r>
          </w:p>
        </w:tc>
      </w:tr>
      <w:tr w14:paraId="311151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505" w:type="dxa"/>
            <w:vMerge w:val="restart"/>
            <w:tcBorders>
              <w:top w:val="single" w:color="auto" w:sz="4" w:space="0"/>
              <w:tl2br w:val="nil"/>
              <w:tr2bl w:val="nil"/>
            </w:tcBorders>
            <w:vAlign w:val="center"/>
          </w:tcPr>
          <w:p w14:paraId="06448907">
            <w:pPr>
              <w:jc w:val="center"/>
              <w:rPr>
                <w:rFonts w:ascii="Times New Roman" w:hAnsi="Times New Roman" w:eastAsia="宋体"/>
                <w:sz w:val="18"/>
                <w:szCs w:val="18"/>
              </w:rPr>
            </w:pPr>
            <m:oMathPara>
              <m:oMath>
                <m:r>
                  <m:rPr/>
                  <w:rPr>
                    <w:rFonts w:ascii="Cambria Math" w:hAnsi="Cambria Math" w:eastAsia="宋体" w:cs="Times New Roman"/>
                    <w:sz w:val="18"/>
                    <w:szCs w:val="18"/>
                  </w:rPr>
                  <m:t>Landfin×Post</m:t>
                </m:r>
              </m:oMath>
            </m:oMathPara>
          </w:p>
        </w:tc>
        <w:tc>
          <w:tcPr>
            <w:tcW w:w="1002" w:type="dxa"/>
            <w:tcBorders>
              <w:top w:val="single" w:color="auto" w:sz="4" w:space="0"/>
              <w:tl2br w:val="nil"/>
              <w:tr2bl w:val="nil"/>
            </w:tcBorders>
          </w:tcPr>
          <w:p w14:paraId="0E497703">
            <w:pPr>
              <w:jc w:val="center"/>
              <w:rPr>
                <w:rFonts w:ascii="Times New Roman" w:hAnsi="Times New Roman" w:eastAsia="宋体" w:cs="Times New Roman"/>
                <w:sz w:val="18"/>
                <w:szCs w:val="18"/>
              </w:rPr>
            </w:pPr>
            <w:r>
              <w:rPr>
                <w:rFonts w:ascii="Times New Roman" w:hAnsi="Times New Roman" w:cs="Times New Roman"/>
                <w:sz w:val="18"/>
                <w:szCs w:val="18"/>
              </w:rPr>
              <w:t>0.6176***</w:t>
            </w:r>
          </w:p>
        </w:tc>
        <w:tc>
          <w:tcPr>
            <w:tcW w:w="1002" w:type="dxa"/>
            <w:tcBorders>
              <w:top w:val="single" w:color="auto" w:sz="4" w:space="0"/>
              <w:tl2br w:val="nil"/>
              <w:tr2bl w:val="nil"/>
            </w:tcBorders>
          </w:tcPr>
          <w:p w14:paraId="33675AAC">
            <w:pPr>
              <w:jc w:val="center"/>
              <w:rPr>
                <w:rFonts w:ascii="Times New Roman" w:hAnsi="Times New Roman" w:eastAsia="宋体" w:cs="Times New Roman"/>
                <w:sz w:val="18"/>
                <w:szCs w:val="18"/>
              </w:rPr>
            </w:pPr>
            <w:r>
              <w:rPr>
                <w:rFonts w:ascii="Times New Roman" w:hAnsi="Times New Roman" w:cs="Times New Roman"/>
                <w:sz w:val="18"/>
                <w:szCs w:val="18"/>
              </w:rPr>
              <w:t>0.6166***</w:t>
            </w:r>
          </w:p>
        </w:tc>
        <w:tc>
          <w:tcPr>
            <w:tcW w:w="1002" w:type="dxa"/>
            <w:tcBorders>
              <w:top w:val="single" w:color="auto" w:sz="4" w:space="0"/>
              <w:tl2br w:val="nil"/>
              <w:tr2bl w:val="nil"/>
            </w:tcBorders>
          </w:tcPr>
          <w:p w14:paraId="1F0E553F">
            <w:pPr>
              <w:jc w:val="center"/>
              <w:rPr>
                <w:rFonts w:ascii="Times New Roman" w:hAnsi="Times New Roman" w:eastAsia="宋体" w:cs="Times New Roman"/>
                <w:sz w:val="18"/>
                <w:szCs w:val="18"/>
              </w:rPr>
            </w:pPr>
            <w:r>
              <w:rPr>
                <w:rFonts w:ascii="Times New Roman" w:hAnsi="Times New Roman" w:cs="Times New Roman"/>
                <w:sz w:val="18"/>
                <w:szCs w:val="18"/>
              </w:rPr>
              <w:t>0.6291***</w:t>
            </w:r>
          </w:p>
        </w:tc>
        <w:tc>
          <w:tcPr>
            <w:tcW w:w="1002" w:type="dxa"/>
            <w:tcBorders>
              <w:top w:val="single" w:color="auto" w:sz="4" w:space="0"/>
              <w:tl2br w:val="nil"/>
              <w:tr2bl w:val="nil"/>
            </w:tcBorders>
          </w:tcPr>
          <w:p w14:paraId="03E926C9">
            <w:pPr>
              <w:jc w:val="center"/>
              <w:rPr>
                <w:rFonts w:ascii="Times New Roman" w:hAnsi="Times New Roman" w:eastAsia="宋体" w:cs="Times New Roman"/>
                <w:sz w:val="18"/>
                <w:szCs w:val="18"/>
              </w:rPr>
            </w:pPr>
            <w:r>
              <w:rPr>
                <w:rFonts w:ascii="Times New Roman" w:hAnsi="Times New Roman" w:cs="Times New Roman"/>
                <w:sz w:val="18"/>
                <w:szCs w:val="18"/>
              </w:rPr>
              <w:t>0.6153***</w:t>
            </w:r>
          </w:p>
        </w:tc>
        <w:tc>
          <w:tcPr>
            <w:tcW w:w="1002" w:type="dxa"/>
            <w:tcBorders>
              <w:top w:val="single" w:color="auto" w:sz="4" w:space="0"/>
              <w:tl2br w:val="nil"/>
              <w:tr2bl w:val="nil"/>
            </w:tcBorders>
          </w:tcPr>
          <w:p w14:paraId="228198C8">
            <w:pPr>
              <w:jc w:val="center"/>
              <w:rPr>
                <w:rFonts w:ascii="Times New Roman" w:hAnsi="Times New Roman" w:eastAsia="宋体" w:cs="Times New Roman"/>
                <w:sz w:val="18"/>
                <w:szCs w:val="18"/>
              </w:rPr>
            </w:pPr>
            <w:r>
              <w:rPr>
                <w:rFonts w:ascii="Times New Roman" w:hAnsi="Times New Roman" w:cs="Times New Roman"/>
                <w:sz w:val="18"/>
                <w:szCs w:val="18"/>
              </w:rPr>
              <w:t>0.6114***</w:t>
            </w:r>
          </w:p>
        </w:tc>
        <w:tc>
          <w:tcPr>
            <w:tcW w:w="1002" w:type="dxa"/>
            <w:tcBorders>
              <w:top w:val="single" w:color="auto" w:sz="4" w:space="0"/>
              <w:tl2br w:val="nil"/>
              <w:tr2bl w:val="nil"/>
            </w:tcBorders>
          </w:tcPr>
          <w:p w14:paraId="60CEE721">
            <w:pPr>
              <w:jc w:val="center"/>
              <w:rPr>
                <w:rFonts w:ascii="Times New Roman" w:hAnsi="Times New Roman" w:eastAsia="宋体" w:cs="Times New Roman"/>
                <w:sz w:val="18"/>
                <w:szCs w:val="18"/>
              </w:rPr>
            </w:pPr>
            <w:r>
              <w:rPr>
                <w:rFonts w:ascii="Times New Roman" w:hAnsi="Times New Roman" w:cs="Times New Roman"/>
                <w:sz w:val="18"/>
                <w:szCs w:val="18"/>
              </w:rPr>
              <w:t>0.6165***</w:t>
            </w:r>
          </w:p>
        </w:tc>
        <w:tc>
          <w:tcPr>
            <w:tcW w:w="1002" w:type="dxa"/>
            <w:tcBorders>
              <w:top w:val="single" w:color="auto" w:sz="4" w:space="0"/>
              <w:tl2br w:val="nil"/>
              <w:tr2bl w:val="nil"/>
            </w:tcBorders>
          </w:tcPr>
          <w:p w14:paraId="7C85B8D9">
            <w:pPr>
              <w:jc w:val="center"/>
              <w:rPr>
                <w:rFonts w:ascii="Times New Roman" w:hAnsi="Times New Roman" w:eastAsia="宋体" w:cs="Times New Roman"/>
                <w:sz w:val="18"/>
                <w:szCs w:val="18"/>
              </w:rPr>
            </w:pPr>
            <w:r>
              <w:rPr>
                <w:rFonts w:ascii="Times New Roman" w:hAnsi="Times New Roman" w:cs="Times New Roman"/>
                <w:sz w:val="18"/>
                <w:szCs w:val="18"/>
              </w:rPr>
              <w:t>0.6321***</w:t>
            </w:r>
          </w:p>
        </w:tc>
      </w:tr>
      <w:tr w14:paraId="7D5FFA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505" w:type="dxa"/>
            <w:vMerge w:val="continue"/>
            <w:tcBorders>
              <w:tl2br w:val="nil"/>
              <w:tr2bl w:val="nil"/>
            </w:tcBorders>
          </w:tcPr>
          <w:p w14:paraId="0064C874">
            <w:pPr>
              <w:jc w:val="left"/>
              <w:rPr>
                <w:rFonts w:ascii="Times New Roman" w:hAnsi="Times New Roman" w:eastAsia="宋体"/>
                <w:sz w:val="18"/>
                <w:szCs w:val="18"/>
              </w:rPr>
            </w:pPr>
          </w:p>
        </w:tc>
        <w:tc>
          <w:tcPr>
            <w:tcW w:w="1002" w:type="dxa"/>
            <w:tcBorders>
              <w:tl2br w:val="nil"/>
              <w:tr2bl w:val="nil"/>
            </w:tcBorders>
          </w:tcPr>
          <w:p w14:paraId="356AC316">
            <w:pPr>
              <w:jc w:val="center"/>
              <w:rPr>
                <w:rFonts w:ascii="Times New Roman" w:hAnsi="Times New Roman" w:eastAsia="宋体" w:cs="Times New Roman"/>
                <w:sz w:val="18"/>
                <w:szCs w:val="18"/>
              </w:rPr>
            </w:pPr>
            <w:r>
              <w:rPr>
                <w:rFonts w:ascii="Times New Roman" w:hAnsi="Times New Roman" w:cs="Times New Roman"/>
                <w:sz w:val="18"/>
                <w:szCs w:val="18"/>
              </w:rPr>
              <w:t>(0.0406)</w:t>
            </w:r>
          </w:p>
        </w:tc>
        <w:tc>
          <w:tcPr>
            <w:tcW w:w="1002" w:type="dxa"/>
            <w:tcBorders>
              <w:tl2br w:val="nil"/>
              <w:tr2bl w:val="nil"/>
            </w:tcBorders>
          </w:tcPr>
          <w:p w14:paraId="5BCAFEA1">
            <w:pPr>
              <w:jc w:val="center"/>
              <w:rPr>
                <w:rFonts w:ascii="Times New Roman" w:hAnsi="Times New Roman" w:eastAsia="宋体" w:cs="Times New Roman"/>
                <w:sz w:val="18"/>
                <w:szCs w:val="18"/>
              </w:rPr>
            </w:pPr>
            <w:r>
              <w:rPr>
                <w:rFonts w:ascii="Times New Roman" w:hAnsi="Times New Roman" w:cs="Times New Roman"/>
                <w:sz w:val="18"/>
                <w:szCs w:val="18"/>
              </w:rPr>
              <w:t>(0.0406)</w:t>
            </w:r>
          </w:p>
        </w:tc>
        <w:tc>
          <w:tcPr>
            <w:tcW w:w="1002" w:type="dxa"/>
            <w:tcBorders>
              <w:tl2br w:val="nil"/>
              <w:tr2bl w:val="nil"/>
            </w:tcBorders>
          </w:tcPr>
          <w:p w14:paraId="15975456">
            <w:pPr>
              <w:jc w:val="center"/>
              <w:rPr>
                <w:rFonts w:ascii="Times New Roman" w:hAnsi="Times New Roman" w:eastAsia="宋体" w:cs="Times New Roman"/>
                <w:sz w:val="18"/>
                <w:szCs w:val="18"/>
              </w:rPr>
            </w:pPr>
            <w:r>
              <w:rPr>
                <w:rFonts w:ascii="Times New Roman" w:hAnsi="Times New Roman" w:cs="Times New Roman"/>
                <w:sz w:val="18"/>
                <w:szCs w:val="18"/>
              </w:rPr>
              <w:t>(0.0465)</w:t>
            </w:r>
          </w:p>
        </w:tc>
        <w:tc>
          <w:tcPr>
            <w:tcW w:w="1002" w:type="dxa"/>
            <w:tcBorders>
              <w:tl2br w:val="nil"/>
              <w:tr2bl w:val="nil"/>
            </w:tcBorders>
          </w:tcPr>
          <w:p w14:paraId="698B25A8">
            <w:pPr>
              <w:jc w:val="center"/>
              <w:rPr>
                <w:rFonts w:ascii="Times New Roman" w:hAnsi="Times New Roman" w:eastAsia="宋体" w:cs="Times New Roman"/>
                <w:sz w:val="18"/>
                <w:szCs w:val="18"/>
              </w:rPr>
            </w:pPr>
            <w:r>
              <w:rPr>
                <w:rFonts w:ascii="Times New Roman" w:hAnsi="Times New Roman" w:cs="Times New Roman"/>
                <w:sz w:val="18"/>
                <w:szCs w:val="18"/>
              </w:rPr>
              <w:t>(0.0406)</w:t>
            </w:r>
          </w:p>
        </w:tc>
        <w:tc>
          <w:tcPr>
            <w:tcW w:w="1002" w:type="dxa"/>
            <w:tcBorders>
              <w:tl2br w:val="nil"/>
              <w:tr2bl w:val="nil"/>
            </w:tcBorders>
          </w:tcPr>
          <w:p w14:paraId="1A3083A3">
            <w:pPr>
              <w:jc w:val="center"/>
              <w:rPr>
                <w:rFonts w:ascii="Times New Roman" w:hAnsi="Times New Roman" w:eastAsia="宋体" w:cs="Times New Roman"/>
                <w:sz w:val="18"/>
                <w:szCs w:val="18"/>
              </w:rPr>
            </w:pPr>
            <w:r>
              <w:rPr>
                <w:rFonts w:ascii="Times New Roman" w:hAnsi="Times New Roman" w:cs="Times New Roman"/>
                <w:sz w:val="18"/>
                <w:szCs w:val="18"/>
              </w:rPr>
              <w:t>(0.0468)</w:t>
            </w:r>
          </w:p>
        </w:tc>
        <w:tc>
          <w:tcPr>
            <w:tcW w:w="1002" w:type="dxa"/>
            <w:tcBorders>
              <w:tl2br w:val="nil"/>
              <w:tr2bl w:val="nil"/>
            </w:tcBorders>
          </w:tcPr>
          <w:p w14:paraId="5236C361">
            <w:pPr>
              <w:jc w:val="center"/>
              <w:rPr>
                <w:rFonts w:ascii="Times New Roman" w:hAnsi="Times New Roman" w:eastAsia="宋体" w:cs="Times New Roman"/>
                <w:sz w:val="18"/>
                <w:szCs w:val="18"/>
              </w:rPr>
            </w:pPr>
            <w:r>
              <w:rPr>
                <w:rFonts w:ascii="Times New Roman" w:hAnsi="Times New Roman" w:cs="Times New Roman"/>
                <w:sz w:val="18"/>
                <w:szCs w:val="18"/>
              </w:rPr>
              <w:t>(0.0406)</w:t>
            </w:r>
          </w:p>
        </w:tc>
        <w:tc>
          <w:tcPr>
            <w:tcW w:w="1002" w:type="dxa"/>
            <w:tcBorders>
              <w:tl2br w:val="nil"/>
              <w:tr2bl w:val="nil"/>
            </w:tcBorders>
          </w:tcPr>
          <w:p w14:paraId="19F23ECD">
            <w:pPr>
              <w:jc w:val="center"/>
              <w:rPr>
                <w:rFonts w:ascii="Times New Roman" w:hAnsi="Times New Roman" w:eastAsia="宋体" w:cs="Times New Roman"/>
                <w:sz w:val="18"/>
                <w:szCs w:val="18"/>
              </w:rPr>
            </w:pPr>
            <w:r>
              <w:rPr>
                <w:rFonts w:ascii="Times New Roman" w:hAnsi="Times New Roman" w:cs="Times New Roman"/>
                <w:sz w:val="18"/>
                <w:szCs w:val="18"/>
              </w:rPr>
              <w:t>(0.0396)</w:t>
            </w:r>
          </w:p>
        </w:tc>
      </w:tr>
      <w:tr w14:paraId="5BA6C02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505" w:type="dxa"/>
            <w:tcBorders>
              <w:tl2br w:val="nil"/>
              <w:tr2bl w:val="nil"/>
            </w:tcBorders>
            <w:vAlign w:val="center"/>
          </w:tcPr>
          <w:p w14:paraId="6624F9B0">
            <w:pPr>
              <w:jc w:val="center"/>
              <w:rPr>
                <w:rFonts w:ascii="Times New Roman" w:hAnsi="Times New Roman" w:eastAsia="宋体" w:cs="Times New Roman"/>
                <w:sz w:val="18"/>
                <w:szCs w:val="18"/>
              </w:rPr>
            </w:pPr>
            <w:r>
              <w:rPr>
                <w:rFonts w:hint="eastAsia" w:ascii="Times New Roman" w:hAnsi="Times New Roman" w:cs="Times New Roman"/>
                <w:i/>
                <w:iCs/>
                <w:szCs w:val="21"/>
              </w:rPr>
              <w:t>zfdh</w:t>
            </w:r>
          </w:p>
        </w:tc>
        <w:tc>
          <w:tcPr>
            <w:tcW w:w="1002" w:type="dxa"/>
            <w:tcBorders>
              <w:tl2br w:val="nil"/>
              <w:tr2bl w:val="nil"/>
            </w:tcBorders>
            <w:vAlign w:val="center"/>
          </w:tcPr>
          <w:p w14:paraId="338BBAC4">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002" w:type="dxa"/>
            <w:tcBorders>
              <w:tl2br w:val="nil"/>
              <w:tr2bl w:val="nil"/>
            </w:tcBorders>
            <w:shd w:val="clear" w:color="auto" w:fill="auto"/>
            <w:vAlign w:val="center"/>
          </w:tcPr>
          <w:p w14:paraId="1288C547">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2404E0A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6A2A3DE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7196AB33">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3C32B84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00D3E28C">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r>
      <w:tr w14:paraId="0F7B80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505" w:type="dxa"/>
            <w:tcBorders>
              <w:tl2br w:val="nil"/>
              <w:tr2bl w:val="nil"/>
            </w:tcBorders>
            <w:vAlign w:val="center"/>
          </w:tcPr>
          <w:p w14:paraId="27270B03">
            <w:pPr>
              <w:jc w:val="center"/>
              <w:rPr>
                <w:rFonts w:ascii="Times New Roman" w:hAnsi="Times New Roman" w:eastAsia="宋体" w:cs="Times New Roman"/>
                <w:sz w:val="18"/>
                <w:szCs w:val="18"/>
              </w:rPr>
            </w:pPr>
            <w:r>
              <w:rPr>
                <w:rFonts w:hint="eastAsia" w:ascii="Times New Roman" w:hAnsi="Times New Roman" w:cs="Times New Roman"/>
                <w:i/>
                <w:iCs/>
                <w:szCs w:val="21"/>
              </w:rPr>
              <w:t>zfzh</w:t>
            </w:r>
          </w:p>
        </w:tc>
        <w:tc>
          <w:tcPr>
            <w:tcW w:w="1002" w:type="dxa"/>
            <w:tcBorders>
              <w:tl2br w:val="nil"/>
              <w:tr2bl w:val="nil"/>
            </w:tcBorders>
            <w:vAlign w:val="center"/>
          </w:tcPr>
          <w:p w14:paraId="1FDE4BC8">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vAlign w:val="center"/>
          </w:tcPr>
          <w:p w14:paraId="2E0DFB65">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c>
          <w:tcPr>
            <w:tcW w:w="1002" w:type="dxa"/>
            <w:tcBorders>
              <w:tl2br w:val="nil"/>
              <w:tr2bl w:val="nil"/>
            </w:tcBorders>
            <w:vAlign w:val="center"/>
          </w:tcPr>
          <w:p w14:paraId="69720CF5">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576806D8">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4CDB5F4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16E28288">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vAlign w:val="center"/>
          </w:tcPr>
          <w:p w14:paraId="0AB6522F">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r>
      <w:tr w14:paraId="6F4D77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505" w:type="dxa"/>
            <w:tcBorders>
              <w:tl2br w:val="nil"/>
              <w:tr2bl w:val="nil"/>
            </w:tcBorders>
            <w:vAlign w:val="center"/>
          </w:tcPr>
          <w:p w14:paraId="0FED8983">
            <w:pPr>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Replace</w:t>
            </w:r>
          </w:p>
        </w:tc>
        <w:tc>
          <w:tcPr>
            <w:tcW w:w="1002" w:type="dxa"/>
            <w:tcBorders>
              <w:tl2br w:val="nil"/>
              <w:tr2bl w:val="nil"/>
            </w:tcBorders>
            <w:shd w:val="clear" w:color="auto" w:fill="auto"/>
            <w:vAlign w:val="center"/>
          </w:tcPr>
          <w:p w14:paraId="26C11EF0">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59CCA77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1B40741E">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vAlign w:val="center"/>
          </w:tcPr>
          <w:p w14:paraId="12B3631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c>
          <w:tcPr>
            <w:tcW w:w="1002" w:type="dxa"/>
            <w:tcBorders>
              <w:tl2br w:val="nil"/>
              <w:tr2bl w:val="nil"/>
            </w:tcBorders>
            <w:shd w:val="clear" w:color="auto" w:fill="auto"/>
            <w:vAlign w:val="center"/>
          </w:tcPr>
          <w:p w14:paraId="06EE1C9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77CA8FA9">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30F62DF2">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r>
      <w:tr w14:paraId="7D5B0A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505" w:type="dxa"/>
            <w:tcBorders>
              <w:tl2br w:val="nil"/>
              <w:tr2bl w:val="nil"/>
            </w:tcBorders>
            <w:shd w:val="clear" w:color="auto" w:fill="auto"/>
          </w:tcPr>
          <w:p w14:paraId="09FF99B8">
            <w:pPr>
              <w:jc w:val="center"/>
              <w:rPr>
                <w:rFonts w:ascii="Times New Roman" w:hAnsi="Times New Roman" w:eastAsia="宋体" w:cs="Times New Roman"/>
                <w:sz w:val="18"/>
                <w:szCs w:val="18"/>
              </w:rPr>
            </w:pPr>
            <w:r>
              <w:rPr>
                <w:rFonts w:hint="eastAsia" w:ascii="Times New Roman" w:hAnsi="Times New Roman" w:cs="Times New Roman"/>
                <w:i/>
                <w:iCs/>
                <w:szCs w:val="21"/>
              </w:rPr>
              <w:t>debtlimit_G</w:t>
            </w:r>
          </w:p>
        </w:tc>
        <w:tc>
          <w:tcPr>
            <w:tcW w:w="1002" w:type="dxa"/>
            <w:tcBorders>
              <w:tl2br w:val="nil"/>
              <w:tr2bl w:val="nil"/>
            </w:tcBorders>
            <w:shd w:val="clear" w:color="auto" w:fill="auto"/>
            <w:vAlign w:val="center"/>
          </w:tcPr>
          <w:p w14:paraId="2DB8E5D0">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2955185B">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409432F3">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10737098">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vAlign w:val="center"/>
          </w:tcPr>
          <w:p w14:paraId="37B3224E">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c>
          <w:tcPr>
            <w:tcW w:w="1002" w:type="dxa"/>
            <w:tcBorders>
              <w:tl2br w:val="nil"/>
              <w:tr2bl w:val="nil"/>
            </w:tcBorders>
            <w:shd w:val="clear" w:color="auto" w:fill="auto"/>
            <w:vAlign w:val="center"/>
          </w:tcPr>
          <w:p w14:paraId="6E37CED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6E0628E0">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r>
      <w:tr w14:paraId="4F22EC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505" w:type="dxa"/>
            <w:tcBorders>
              <w:tl2br w:val="nil"/>
              <w:tr2bl w:val="nil"/>
            </w:tcBorders>
            <w:shd w:val="clear" w:color="auto" w:fill="auto"/>
          </w:tcPr>
          <w:p w14:paraId="28AC6EA3">
            <w:pPr>
              <w:jc w:val="center"/>
              <w:rPr>
                <w:rFonts w:ascii="Times New Roman" w:hAnsi="Times New Roman" w:eastAsia="宋体" w:cs="Times New Roman"/>
                <w:sz w:val="18"/>
                <w:szCs w:val="18"/>
              </w:rPr>
            </w:pPr>
            <w:r>
              <w:rPr>
                <w:rFonts w:hint="eastAsia" w:ascii="Times New Roman" w:hAnsi="Times New Roman" w:cs="Times New Roman"/>
                <w:i/>
                <w:iCs/>
                <w:szCs w:val="21"/>
              </w:rPr>
              <w:t>debtlimit_S</w:t>
            </w:r>
          </w:p>
        </w:tc>
        <w:tc>
          <w:tcPr>
            <w:tcW w:w="1002" w:type="dxa"/>
            <w:tcBorders>
              <w:tl2br w:val="nil"/>
              <w:tr2bl w:val="nil"/>
            </w:tcBorders>
            <w:shd w:val="clear" w:color="auto" w:fill="auto"/>
            <w:vAlign w:val="center"/>
          </w:tcPr>
          <w:p w14:paraId="7A1D381B">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4DFE5C4B">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32278615">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314FAF7E">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vAlign w:val="center"/>
          </w:tcPr>
          <w:p w14:paraId="590C42C6">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c>
          <w:tcPr>
            <w:tcW w:w="1002" w:type="dxa"/>
            <w:tcBorders>
              <w:tl2br w:val="nil"/>
              <w:tr2bl w:val="nil"/>
            </w:tcBorders>
            <w:shd w:val="clear" w:color="auto" w:fill="auto"/>
            <w:vAlign w:val="center"/>
          </w:tcPr>
          <w:p w14:paraId="466A832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7F35D46A">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r>
      <w:tr w14:paraId="0D6B33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505" w:type="dxa"/>
            <w:tcBorders>
              <w:tl2br w:val="nil"/>
              <w:tr2bl w:val="nil"/>
            </w:tcBorders>
            <w:shd w:val="clear" w:color="auto" w:fill="auto"/>
          </w:tcPr>
          <w:p w14:paraId="09DCBBBA">
            <w:pPr>
              <w:jc w:val="center"/>
              <w:rPr>
                <w:rFonts w:ascii="Times New Roman" w:hAnsi="Times New Roman" w:eastAsia="宋体" w:cs="Times New Roman"/>
                <w:sz w:val="18"/>
                <w:szCs w:val="18"/>
              </w:rPr>
            </w:pPr>
            <w:r>
              <w:rPr>
                <w:rFonts w:ascii="Times New Roman" w:hAnsi="Times New Roman" w:eastAsia="宋体" w:cs="Times New Roman"/>
                <w:i/>
                <w:iCs/>
                <w:szCs w:val="21"/>
              </w:rPr>
              <w:t>VAT</w:t>
            </w:r>
          </w:p>
        </w:tc>
        <w:tc>
          <w:tcPr>
            <w:tcW w:w="1002" w:type="dxa"/>
            <w:tcBorders>
              <w:tl2br w:val="nil"/>
              <w:tr2bl w:val="nil"/>
            </w:tcBorders>
            <w:shd w:val="clear" w:color="auto" w:fill="auto"/>
            <w:vAlign w:val="center"/>
          </w:tcPr>
          <w:p w14:paraId="741A7CE0">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373580F5">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1AA0F9EB">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2CA067B7">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20B7ABE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vAlign w:val="center"/>
          </w:tcPr>
          <w:p w14:paraId="414B71C6">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c>
          <w:tcPr>
            <w:tcW w:w="1002" w:type="dxa"/>
            <w:tcBorders>
              <w:tl2br w:val="nil"/>
              <w:tr2bl w:val="nil"/>
            </w:tcBorders>
            <w:vAlign w:val="center"/>
          </w:tcPr>
          <w:p w14:paraId="06588822">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r>
      <w:tr w14:paraId="43C529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505" w:type="dxa"/>
            <w:tcBorders>
              <w:tl2br w:val="nil"/>
              <w:tr2bl w:val="nil"/>
            </w:tcBorders>
            <w:shd w:val="clear" w:color="auto" w:fill="auto"/>
          </w:tcPr>
          <w:p w14:paraId="64A77E13">
            <w:pPr>
              <w:jc w:val="center"/>
              <w:rPr>
                <w:rFonts w:ascii="Times New Roman" w:hAnsi="Times New Roman" w:eastAsia="宋体" w:cs="Times New Roman"/>
                <w:sz w:val="18"/>
                <w:szCs w:val="18"/>
              </w:rPr>
            </w:pPr>
            <w:r>
              <w:rPr>
                <w:rFonts w:ascii="Times New Roman" w:hAnsi="Times New Roman" w:eastAsia="宋体" w:cs="Times New Roman"/>
                <w:i/>
                <w:iCs/>
                <w:szCs w:val="21"/>
              </w:rPr>
              <w:t>VAT</w:t>
            </w:r>
            <w:r>
              <w:rPr>
                <w:rFonts w:hint="eastAsia" w:ascii="Times New Roman" w:hAnsi="Times New Roman" w:eastAsia="宋体" w:cs="Times New Roman"/>
                <w:i/>
                <w:iCs/>
                <w:szCs w:val="21"/>
              </w:rPr>
              <w:t>rate</w:t>
            </w:r>
          </w:p>
        </w:tc>
        <w:tc>
          <w:tcPr>
            <w:tcW w:w="1002" w:type="dxa"/>
            <w:tcBorders>
              <w:tl2br w:val="nil"/>
              <w:tr2bl w:val="nil"/>
            </w:tcBorders>
            <w:shd w:val="clear" w:color="auto" w:fill="auto"/>
            <w:vAlign w:val="center"/>
          </w:tcPr>
          <w:p w14:paraId="089C84A9">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7799EE2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675164AB">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388FD78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014D177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shd w:val="clear" w:color="auto" w:fill="auto"/>
            <w:vAlign w:val="center"/>
          </w:tcPr>
          <w:p w14:paraId="058AD308">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不控制</w:t>
            </w:r>
          </w:p>
        </w:tc>
        <w:tc>
          <w:tcPr>
            <w:tcW w:w="1002" w:type="dxa"/>
            <w:tcBorders>
              <w:tl2br w:val="nil"/>
              <w:tr2bl w:val="nil"/>
            </w:tcBorders>
            <w:vAlign w:val="center"/>
          </w:tcPr>
          <w:p w14:paraId="39CE8B5C">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r>
      <w:tr w14:paraId="591411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505" w:type="dxa"/>
            <w:tcBorders>
              <w:tl2br w:val="nil"/>
              <w:tr2bl w:val="nil"/>
            </w:tcBorders>
            <w:vAlign w:val="center"/>
          </w:tcPr>
          <w:p w14:paraId="7DCCCBF3">
            <w:pPr>
              <w:jc w:val="center"/>
              <w:rPr>
                <w:rFonts w:ascii="Times New Roman" w:hAnsi="Times New Roman" w:eastAsia="宋体"/>
                <w:sz w:val="18"/>
                <w:szCs w:val="18"/>
              </w:rPr>
            </w:pPr>
            <w:r>
              <w:rPr>
                <w:rFonts w:ascii="Times New Roman" w:hAnsi="Times New Roman" w:eastAsia="宋体" w:cs="Times New Roman"/>
                <w:sz w:val="18"/>
                <w:szCs w:val="18"/>
              </w:rPr>
              <w:t>控制变量</w:t>
            </w:r>
          </w:p>
        </w:tc>
        <w:tc>
          <w:tcPr>
            <w:tcW w:w="1002" w:type="dxa"/>
            <w:tcBorders>
              <w:tl2br w:val="nil"/>
              <w:tr2bl w:val="nil"/>
            </w:tcBorders>
            <w:vAlign w:val="center"/>
          </w:tcPr>
          <w:p w14:paraId="34B91699">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002" w:type="dxa"/>
            <w:tcBorders>
              <w:tl2br w:val="nil"/>
              <w:tr2bl w:val="nil"/>
            </w:tcBorders>
            <w:vAlign w:val="center"/>
          </w:tcPr>
          <w:p w14:paraId="3BA4C605">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002" w:type="dxa"/>
            <w:tcBorders>
              <w:tl2br w:val="nil"/>
              <w:tr2bl w:val="nil"/>
            </w:tcBorders>
            <w:vAlign w:val="center"/>
          </w:tcPr>
          <w:p w14:paraId="3B4D90DF">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002" w:type="dxa"/>
            <w:tcBorders>
              <w:tl2br w:val="nil"/>
              <w:tr2bl w:val="nil"/>
            </w:tcBorders>
            <w:vAlign w:val="center"/>
          </w:tcPr>
          <w:p w14:paraId="29BB99CC">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002" w:type="dxa"/>
            <w:tcBorders>
              <w:tl2br w:val="nil"/>
              <w:tr2bl w:val="nil"/>
            </w:tcBorders>
            <w:vAlign w:val="center"/>
          </w:tcPr>
          <w:p w14:paraId="1D07F856">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002" w:type="dxa"/>
            <w:tcBorders>
              <w:tl2br w:val="nil"/>
              <w:tr2bl w:val="nil"/>
            </w:tcBorders>
            <w:vAlign w:val="center"/>
          </w:tcPr>
          <w:p w14:paraId="55CEAAD2">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002" w:type="dxa"/>
            <w:tcBorders>
              <w:tl2br w:val="nil"/>
              <w:tr2bl w:val="nil"/>
            </w:tcBorders>
            <w:shd w:val="clear" w:color="auto" w:fill="auto"/>
            <w:vAlign w:val="center"/>
          </w:tcPr>
          <w:p w14:paraId="747C213D">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r>
      <w:tr w14:paraId="2217E0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505" w:type="dxa"/>
            <w:tcBorders>
              <w:tl2br w:val="nil"/>
              <w:tr2bl w:val="nil"/>
            </w:tcBorders>
            <w:vAlign w:val="center"/>
          </w:tcPr>
          <w:p w14:paraId="71DE1AB9">
            <w:pPr>
              <w:jc w:val="center"/>
              <w:rPr>
                <w:rFonts w:ascii="Times New Roman" w:hAnsi="Times New Roman" w:eastAsia="宋体"/>
                <w:sz w:val="18"/>
                <w:szCs w:val="18"/>
              </w:rPr>
            </w:pPr>
            <w:r>
              <w:rPr>
                <w:rFonts w:hint="eastAsia" w:ascii="Times New Roman" w:hAnsi="Times New Roman" w:eastAsia="宋体" w:cs="Times New Roman"/>
                <w:sz w:val="18"/>
                <w:szCs w:val="18"/>
              </w:rPr>
              <w:t>城市、年份</w:t>
            </w:r>
            <w:r>
              <w:rPr>
                <w:rFonts w:ascii="Times New Roman" w:hAnsi="Times New Roman" w:eastAsia="宋体" w:cs="Times New Roman"/>
                <w:sz w:val="18"/>
                <w:szCs w:val="18"/>
              </w:rPr>
              <w:t>效应</w:t>
            </w:r>
          </w:p>
        </w:tc>
        <w:tc>
          <w:tcPr>
            <w:tcW w:w="1002" w:type="dxa"/>
            <w:tcBorders>
              <w:tl2br w:val="nil"/>
              <w:tr2bl w:val="nil"/>
            </w:tcBorders>
            <w:vAlign w:val="center"/>
          </w:tcPr>
          <w:p w14:paraId="70B41B99">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002" w:type="dxa"/>
            <w:tcBorders>
              <w:tl2br w:val="nil"/>
              <w:tr2bl w:val="nil"/>
            </w:tcBorders>
            <w:vAlign w:val="center"/>
          </w:tcPr>
          <w:p w14:paraId="4893A81B">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002" w:type="dxa"/>
            <w:tcBorders>
              <w:tl2br w:val="nil"/>
              <w:tr2bl w:val="nil"/>
            </w:tcBorders>
            <w:vAlign w:val="center"/>
          </w:tcPr>
          <w:p w14:paraId="63A4E075">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002" w:type="dxa"/>
            <w:tcBorders>
              <w:tl2br w:val="nil"/>
              <w:tr2bl w:val="nil"/>
            </w:tcBorders>
            <w:vAlign w:val="center"/>
          </w:tcPr>
          <w:p w14:paraId="4743E1BD">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002" w:type="dxa"/>
            <w:tcBorders>
              <w:tl2br w:val="nil"/>
              <w:tr2bl w:val="nil"/>
            </w:tcBorders>
            <w:vAlign w:val="center"/>
          </w:tcPr>
          <w:p w14:paraId="1237E575">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002" w:type="dxa"/>
            <w:tcBorders>
              <w:tl2br w:val="nil"/>
              <w:tr2bl w:val="nil"/>
            </w:tcBorders>
            <w:vAlign w:val="center"/>
          </w:tcPr>
          <w:p w14:paraId="056A6C29">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c>
          <w:tcPr>
            <w:tcW w:w="1002" w:type="dxa"/>
            <w:tcBorders>
              <w:tl2br w:val="nil"/>
              <w:tr2bl w:val="nil"/>
            </w:tcBorders>
            <w:shd w:val="clear" w:color="auto" w:fill="auto"/>
            <w:vAlign w:val="center"/>
          </w:tcPr>
          <w:p w14:paraId="5EC40C47">
            <w:pPr>
              <w:jc w:val="center"/>
              <w:rPr>
                <w:rFonts w:ascii="Times New Roman" w:hAnsi="Times New Roman" w:eastAsia="宋体"/>
                <w:sz w:val="18"/>
                <w:szCs w:val="18"/>
              </w:rPr>
            </w:pPr>
            <w:r>
              <w:rPr>
                <w:rFonts w:hint="eastAsia" w:ascii="Times New Roman" w:hAnsi="Times New Roman" w:eastAsia="宋体" w:cs="Times New Roman"/>
                <w:sz w:val="18"/>
                <w:szCs w:val="18"/>
              </w:rPr>
              <w:t>控制</w:t>
            </w:r>
          </w:p>
        </w:tc>
      </w:tr>
      <w:tr w14:paraId="522446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505" w:type="dxa"/>
            <w:tcBorders>
              <w:top w:val="single" w:color="auto" w:sz="4" w:space="0"/>
            </w:tcBorders>
          </w:tcPr>
          <w:p w14:paraId="08FF0247">
            <w:pPr>
              <w:jc w:val="center"/>
              <w:rPr>
                <w:rFonts w:ascii="Times New Roman" w:hAnsi="Times New Roman" w:eastAsia="宋体"/>
                <w:sz w:val="18"/>
                <w:szCs w:val="18"/>
              </w:rPr>
            </w:pPr>
            <w:r>
              <w:rPr>
                <w:rFonts w:hint="eastAsia" w:ascii="Times New Roman" w:hAnsi="Times New Roman" w:eastAsia="宋体" w:cs="Times New Roman"/>
                <w:i/>
                <w:iCs/>
                <w:sz w:val="18"/>
                <w:szCs w:val="18"/>
              </w:rPr>
              <w:t>N</w:t>
            </w:r>
          </w:p>
        </w:tc>
        <w:tc>
          <w:tcPr>
            <w:tcW w:w="1002" w:type="dxa"/>
            <w:tcBorders>
              <w:top w:val="single" w:color="auto" w:sz="4" w:space="0"/>
            </w:tcBorders>
            <w:shd w:val="clear" w:color="auto" w:fill="auto"/>
          </w:tcPr>
          <w:p w14:paraId="3A07038F">
            <w:pPr>
              <w:jc w:val="center"/>
              <w:rPr>
                <w:rFonts w:ascii="Times New Roman" w:hAnsi="Times New Roman" w:eastAsia="宋体" w:cs="Times New Roman"/>
                <w:sz w:val="18"/>
                <w:szCs w:val="18"/>
              </w:rPr>
            </w:pPr>
            <w:r>
              <w:rPr>
                <w:rFonts w:ascii="Times New Roman" w:hAnsi="Times New Roman" w:eastAsia="宋体" w:cs="Times New Roman"/>
                <w:sz w:val="18"/>
                <w:szCs w:val="18"/>
              </w:rPr>
              <w:t>2319</w:t>
            </w:r>
          </w:p>
        </w:tc>
        <w:tc>
          <w:tcPr>
            <w:tcW w:w="1002" w:type="dxa"/>
            <w:tcBorders>
              <w:top w:val="single" w:color="auto" w:sz="4" w:space="0"/>
            </w:tcBorders>
            <w:shd w:val="clear" w:color="auto" w:fill="auto"/>
          </w:tcPr>
          <w:p w14:paraId="3A204D68">
            <w:pPr>
              <w:jc w:val="center"/>
              <w:rPr>
                <w:rFonts w:ascii="Times New Roman" w:hAnsi="Times New Roman" w:eastAsia="宋体" w:cs="Times New Roman"/>
                <w:sz w:val="18"/>
                <w:szCs w:val="18"/>
              </w:rPr>
            </w:pPr>
            <w:r>
              <w:rPr>
                <w:rFonts w:ascii="Times New Roman" w:hAnsi="Times New Roman" w:eastAsia="宋体" w:cs="Times New Roman"/>
                <w:sz w:val="18"/>
                <w:szCs w:val="18"/>
              </w:rPr>
              <w:t>2319</w:t>
            </w:r>
          </w:p>
        </w:tc>
        <w:tc>
          <w:tcPr>
            <w:tcW w:w="1002" w:type="dxa"/>
            <w:tcBorders>
              <w:top w:val="single" w:color="auto" w:sz="4" w:space="0"/>
            </w:tcBorders>
            <w:shd w:val="clear" w:color="auto" w:fill="auto"/>
          </w:tcPr>
          <w:p w14:paraId="04465B10">
            <w:pPr>
              <w:jc w:val="center"/>
              <w:rPr>
                <w:rFonts w:ascii="Times New Roman" w:hAnsi="Times New Roman" w:eastAsia="宋体" w:cs="Times New Roman"/>
                <w:sz w:val="18"/>
                <w:szCs w:val="18"/>
              </w:rPr>
            </w:pPr>
            <w:r>
              <w:rPr>
                <w:rFonts w:ascii="Times New Roman" w:hAnsi="Times New Roman" w:eastAsia="宋体" w:cs="Times New Roman"/>
                <w:sz w:val="18"/>
                <w:szCs w:val="18"/>
              </w:rPr>
              <w:t>1449</w:t>
            </w:r>
          </w:p>
        </w:tc>
        <w:tc>
          <w:tcPr>
            <w:tcW w:w="1002" w:type="dxa"/>
            <w:tcBorders>
              <w:top w:val="single" w:color="auto" w:sz="4" w:space="0"/>
            </w:tcBorders>
            <w:shd w:val="clear" w:color="auto" w:fill="auto"/>
          </w:tcPr>
          <w:p w14:paraId="1A2024D8">
            <w:pPr>
              <w:jc w:val="center"/>
              <w:rPr>
                <w:rFonts w:ascii="Times New Roman" w:hAnsi="Times New Roman" w:eastAsia="宋体" w:cs="Times New Roman"/>
                <w:sz w:val="18"/>
                <w:szCs w:val="18"/>
              </w:rPr>
            </w:pPr>
            <w:r>
              <w:rPr>
                <w:rFonts w:ascii="Times New Roman" w:hAnsi="Times New Roman" w:eastAsia="宋体" w:cs="Times New Roman"/>
                <w:sz w:val="18"/>
                <w:szCs w:val="18"/>
              </w:rPr>
              <w:t>2319</w:t>
            </w:r>
          </w:p>
        </w:tc>
        <w:tc>
          <w:tcPr>
            <w:tcW w:w="1002" w:type="dxa"/>
            <w:tcBorders>
              <w:top w:val="single" w:color="auto" w:sz="4" w:space="0"/>
            </w:tcBorders>
            <w:shd w:val="clear" w:color="auto" w:fill="auto"/>
          </w:tcPr>
          <w:p w14:paraId="5E323681">
            <w:pPr>
              <w:jc w:val="center"/>
              <w:rPr>
                <w:rFonts w:ascii="Times New Roman" w:hAnsi="Times New Roman" w:eastAsia="宋体" w:cs="Times New Roman"/>
                <w:sz w:val="18"/>
                <w:szCs w:val="18"/>
              </w:rPr>
            </w:pPr>
            <w:r>
              <w:rPr>
                <w:rFonts w:ascii="Times New Roman" w:hAnsi="Times New Roman" w:eastAsia="宋体" w:cs="Times New Roman"/>
                <w:sz w:val="18"/>
                <w:szCs w:val="18"/>
              </w:rPr>
              <w:t>1449</w:t>
            </w:r>
          </w:p>
        </w:tc>
        <w:tc>
          <w:tcPr>
            <w:tcW w:w="1002" w:type="dxa"/>
            <w:tcBorders>
              <w:top w:val="single" w:color="auto" w:sz="4" w:space="0"/>
            </w:tcBorders>
            <w:shd w:val="clear" w:color="auto" w:fill="auto"/>
          </w:tcPr>
          <w:p w14:paraId="4761CA01">
            <w:pPr>
              <w:jc w:val="center"/>
              <w:rPr>
                <w:rFonts w:ascii="Times New Roman" w:hAnsi="Times New Roman" w:eastAsia="宋体" w:cs="Times New Roman"/>
                <w:sz w:val="18"/>
                <w:szCs w:val="18"/>
              </w:rPr>
            </w:pPr>
            <w:r>
              <w:rPr>
                <w:rFonts w:ascii="Times New Roman" w:hAnsi="Times New Roman" w:eastAsia="宋体" w:cs="Times New Roman"/>
                <w:sz w:val="18"/>
                <w:szCs w:val="18"/>
              </w:rPr>
              <w:t>2319</w:t>
            </w:r>
          </w:p>
        </w:tc>
        <w:tc>
          <w:tcPr>
            <w:tcW w:w="1002" w:type="dxa"/>
            <w:tcBorders>
              <w:top w:val="single" w:color="auto" w:sz="4" w:space="0"/>
            </w:tcBorders>
            <w:shd w:val="clear" w:color="auto" w:fill="auto"/>
          </w:tcPr>
          <w:p w14:paraId="0D8F6BB9">
            <w:pPr>
              <w:jc w:val="center"/>
              <w:rPr>
                <w:rFonts w:ascii="Times New Roman" w:hAnsi="Times New Roman" w:eastAsia="宋体" w:cs="Times New Roman"/>
                <w:sz w:val="18"/>
                <w:szCs w:val="18"/>
              </w:rPr>
            </w:pPr>
            <w:r>
              <w:rPr>
                <w:rFonts w:ascii="Times New Roman" w:hAnsi="Times New Roman" w:eastAsia="宋体" w:cs="Times New Roman"/>
                <w:sz w:val="18"/>
                <w:szCs w:val="18"/>
              </w:rPr>
              <w:t>2211</w:t>
            </w:r>
          </w:p>
        </w:tc>
      </w:tr>
    </w:tbl>
    <w:p w14:paraId="54A393D1">
      <w:pPr>
        <w:widowControl/>
        <w:ind w:firstLine="416" w:firstLineChars="200"/>
        <w:jc w:val="both"/>
        <w:rPr>
          <w:rFonts w:ascii="Times New Roman" w:hAnsi="Times New Roman" w:cs="Times New Roman"/>
          <w:szCs w:val="21"/>
        </w:rPr>
      </w:pPr>
      <w:r>
        <w:rPr>
          <w:rFonts w:hint="eastAsia" w:ascii="Times New Roman" w:hAnsi="Times New Roman"/>
          <w:szCs w:val="21"/>
        </w:rPr>
        <w:t>7.其他稳健性检验。</w:t>
      </w:r>
      <w:r>
        <w:rPr>
          <w:rFonts w:hint="eastAsia" w:ascii="Times New Roman" w:hAnsi="Times New Roman"/>
        </w:rPr>
        <w:t>本文还进行了其他稳健性检验。</w:t>
      </w:r>
      <w:r>
        <w:rPr>
          <w:rFonts w:hint="eastAsia" w:ascii="Times New Roman" w:hAnsi="Times New Roman" w:cs="Times New Roman"/>
          <w:szCs w:val="21"/>
        </w:rPr>
        <w:t>第一，删除四个直辖市。与普通地级市由省级政府转贷债券资金相区别，直辖市作为省级行政单位，可以直接发行政府债券，享有远超普通地级市的经济与社会管理自主权，直辖市与一般地级市的债务形成和风险化解机制可能不具可比性。为避免由此带来的估计偏误，本文删除了四个直辖市观测值。回归结果为附表5列（1），发现</w:t>
      </w:r>
      <m:oMath>
        <m:r>
          <m:rPr/>
          <w:rPr>
            <w:rFonts w:ascii="Cambria Math" w:hAnsi="Cambria Math" w:cs="Times New Roman"/>
            <w:szCs w:val="21"/>
          </w:rPr>
          <m:t>Landfin×Post</m:t>
        </m:r>
      </m:oMath>
      <w:r>
        <w:rPr>
          <w:rFonts w:hint="eastAsia" w:ascii="Times New Roman" w:hAnsi="Times New Roman" w:cs="Times New Roman"/>
          <w:szCs w:val="21"/>
        </w:rPr>
        <w:t>的系数显著为正，与基准回归结果一致。第二，进一步删除副省级城市样本。副省级城市在财政、土地、规划、金融等方面拥有比普通地级市更大的自主权，其地方政府行为模式、融资能力和约束条件介于直辖市与普通地级市之间，在与省级和中央政府的互动中，副省级城市往往能获得更多的资源倾斜。</w:t>
      </w:r>
      <w:r>
        <w:rPr>
          <w:rFonts w:hint="eastAsia" w:ascii="Times New Roman" w:hAnsi="Times New Roman" w:cs="Times New Roman"/>
          <w:szCs w:val="21"/>
          <w:lang w:val="en-US" w:eastAsia="zh-CN"/>
        </w:rPr>
        <w:t>进一步</w:t>
      </w:r>
      <w:r>
        <w:rPr>
          <w:rFonts w:hint="eastAsia" w:ascii="Times New Roman" w:hAnsi="Times New Roman" w:cs="Times New Roman"/>
          <w:szCs w:val="21"/>
        </w:rPr>
        <w:t>剔除副省级城市后重新进行回归，附表5列（2）</w:t>
      </w:r>
      <w:r>
        <w:rPr>
          <w:rFonts w:hint="eastAsia" w:ascii="Times New Roman" w:hAnsi="Times New Roman" w:cs="Times New Roman"/>
          <w:szCs w:val="21"/>
          <w:lang w:val="en-US" w:eastAsia="zh-CN"/>
        </w:rPr>
        <w:t>回归结果显示</w:t>
      </w:r>
      <w:r>
        <w:rPr>
          <w:rFonts w:hint="eastAsia" w:ascii="Times New Roman" w:hAnsi="Times New Roman" w:cs="Times New Roman"/>
          <w:szCs w:val="21"/>
        </w:rPr>
        <w:t>，</w:t>
      </w:r>
      <m:oMath>
        <m:r>
          <m:rPr/>
          <w:rPr>
            <w:rFonts w:ascii="Cambria Math" w:hAnsi="Cambria Math" w:cs="Times New Roman"/>
            <w:szCs w:val="21"/>
          </w:rPr>
          <m:t>Landfin×Post</m:t>
        </m:r>
      </m:oMath>
      <w:r>
        <w:rPr>
          <w:rFonts w:hint="eastAsia" w:ascii="Times New Roman" w:hAnsi="Times New Roman" w:cs="Times New Roman"/>
          <w:szCs w:val="21"/>
        </w:rPr>
        <w:t>的系数仍然显著为正，改变研究样本后，土地融资模式转变降低地方政府土地债务风险的基准结论没有发生改变。</w:t>
      </w:r>
      <w:r>
        <w:rPr>
          <w:rFonts w:hint="eastAsia" w:ascii="Times New Roman" w:hAnsi="Times New Roman"/>
        </w:rPr>
        <w:t>第三，排除预期效应。2016年，财政部提出地方政府应在核定的债务限额内合理安排用于土地储备的债券发行规模和期限，当年虽未发行土储债券，但地方政府与市场可能提前产生发行土储债券的预期并调整行为。为了排除预期效应影响，删除2016年数据后重新进行回归，结果报告于附表5列（3），结果显示</w:t>
      </w:r>
      <m:oMath>
        <m:r>
          <m:rPr/>
          <w:rPr>
            <w:rFonts w:ascii="Cambria Math" w:hAnsi="Cambria Math" w:eastAsia="仿宋" w:cs="Times New Roman"/>
            <w:szCs w:val="21"/>
          </w:rPr>
          <m:t>Landfin×Post</m:t>
        </m:r>
      </m:oMath>
      <w:r>
        <w:rPr>
          <w:rFonts w:hint="eastAsia" w:ascii="Times New Roman" w:hAnsi="Times New Roman"/>
        </w:rPr>
        <w:t>的系数显著为正，说明本文结论不受预期效应影响。</w:t>
      </w:r>
    </w:p>
    <w:p w14:paraId="226A905F">
      <w:pPr>
        <w:jc w:val="center"/>
        <w:rPr>
          <w:rFonts w:ascii="Times New Roman" w:hAnsi="Times New Roman" w:eastAsia="黑体" w:cs="黑体"/>
        </w:rPr>
      </w:pPr>
      <w:r>
        <w:rPr>
          <w:rFonts w:hint="eastAsia" w:ascii="Times New Roman" w:hAnsi="Times New Roman" w:eastAsia="黑体" w:cs="黑体"/>
        </w:rPr>
        <w:t>附表5  其他稳健性检验</w:t>
      </w:r>
    </w:p>
    <w:tbl>
      <w:tblPr>
        <w:tblStyle w:val="5"/>
        <w:tblW w:w="4998" w:type="pct"/>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2941"/>
        <w:gridCol w:w="1861"/>
        <w:gridCol w:w="1861"/>
        <w:gridCol w:w="1862"/>
      </w:tblGrid>
      <w:tr w14:paraId="6483D1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724" w:type="pct"/>
            <w:vMerge w:val="restart"/>
            <w:tcBorders>
              <w:bottom w:val="single" w:color="auto" w:sz="4" w:space="0"/>
            </w:tcBorders>
            <w:vAlign w:val="center"/>
          </w:tcPr>
          <w:p w14:paraId="6D313F03">
            <w:pPr>
              <w:jc w:val="center"/>
              <w:rPr>
                <w:rFonts w:ascii="Times New Roman" w:hAnsi="Times New Roman" w:eastAsia="宋体" w:cs="Times New Roman"/>
                <w:sz w:val="18"/>
                <w:szCs w:val="18"/>
              </w:rPr>
            </w:pPr>
            <w:r>
              <w:rPr>
                <w:rFonts w:ascii="Times New Roman" w:hAnsi="Times New Roman" w:eastAsia="宋体" w:cs="Times New Roman"/>
                <w:sz w:val="18"/>
                <w:szCs w:val="18"/>
              </w:rPr>
              <w:t>变量</w:t>
            </w:r>
          </w:p>
        </w:tc>
        <w:tc>
          <w:tcPr>
            <w:tcW w:w="1091" w:type="pct"/>
            <w:tcBorders>
              <w:bottom w:val="single" w:color="auto" w:sz="4" w:space="0"/>
            </w:tcBorders>
            <w:vAlign w:val="center"/>
          </w:tcPr>
          <w:p w14:paraId="154B404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1091" w:type="pct"/>
            <w:tcBorders>
              <w:bottom w:val="single" w:color="auto" w:sz="4" w:space="0"/>
            </w:tcBorders>
            <w:vAlign w:val="center"/>
          </w:tcPr>
          <w:p w14:paraId="02ED3305">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w:t>
            </w:r>
          </w:p>
        </w:tc>
        <w:tc>
          <w:tcPr>
            <w:tcW w:w="1091" w:type="pct"/>
            <w:tcBorders>
              <w:bottom w:val="single" w:color="auto" w:sz="4" w:space="0"/>
            </w:tcBorders>
            <w:vAlign w:val="center"/>
          </w:tcPr>
          <w:p w14:paraId="60CAF0C6">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（3）</w:t>
            </w:r>
          </w:p>
        </w:tc>
      </w:tr>
      <w:tr w14:paraId="3B933C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724" w:type="pct"/>
            <w:vMerge w:val="continue"/>
            <w:tcBorders>
              <w:top w:val="single" w:color="auto" w:sz="4" w:space="0"/>
              <w:bottom w:val="single" w:color="auto" w:sz="4" w:space="0"/>
            </w:tcBorders>
          </w:tcPr>
          <w:p w14:paraId="3002FFA7">
            <w:pPr>
              <w:jc w:val="center"/>
              <w:rPr>
                <w:rFonts w:ascii="Times New Roman" w:hAnsi="Times New Roman" w:eastAsia="宋体" w:cs="Times New Roman"/>
                <w:sz w:val="18"/>
                <w:szCs w:val="18"/>
              </w:rPr>
            </w:pPr>
          </w:p>
        </w:tc>
        <w:tc>
          <w:tcPr>
            <w:tcW w:w="1091" w:type="pct"/>
            <w:tcBorders>
              <w:top w:val="single" w:color="auto" w:sz="4" w:space="0"/>
              <w:bottom w:val="single" w:color="auto" w:sz="4" w:space="0"/>
            </w:tcBorders>
            <w:vAlign w:val="center"/>
          </w:tcPr>
          <w:p w14:paraId="7E16659B">
            <w:pPr>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Risk</w:t>
            </w:r>
          </w:p>
        </w:tc>
        <w:tc>
          <w:tcPr>
            <w:tcW w:w="1091" w:type="pct"/>
            <w:tcBorders>
              <w:top w:val="single" w:color="auto" w:sz="4" w:space="0"/>
              <w:bottom w:val="single" w:color="auto" w:sz="4" w:space="0"/>
            </w:tcBorders>
            <w:vAlign w:val="center"/>
          </w:tcPr>
          <w:p w14:paraId="3C44F780">
            <w:pPr>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Risk</w:t>
            </w:r>
          </w:p>
        </w:tc>
        <w:tc>
          <w:tcPr>
            <w:tcW w:w="1091" w:type="pct"/>
            <w:tcBorders>
              <w:top w:val="single" w:color="auto" w:sz="4" w:space="0"/>
              <w:bottom w:val="single" w:color="auto" w:sz="4" w:space="0"/>
            </w:tcBorders>
            <w:vAlign w:val="center"/>
          </w:tcPr>
          <w:p w14:paraId="3CD7BDA5">
            <w:pPr>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Risk</w:t>
            </w:r>
          </w:p>
        </w:tc>
      </w:tr>
      <w:tr w14:paraId="31A5C00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724" w:type="pct"/>
            <w:vMerge w:val="restart"/>
            <w:tcBorders>
              <w:top w:val="single" w:color="auto" w:sz="4" w:space="0"/>
              <w:tl2br w:val="nil"/>
              <w:tr2bl w:val="nil"/>
            </w:tcBorders>
            <w:vAlign w:val="center"/>
          </w:tcPr>
          <w:p w14:paraId="1A75B77F">
            <w:pPr>
              <w:jc w:val="center"/>
              <w:rPr>
                <w:rFonts w:ascii="Times New Roman" w:hAnsi="Times New Roman" w:eastAsia="宋体" w:cs="Times New Roman"/>
                <w:sz w:val="18"/>
                <w:szCs w:val="18"/>
              </w:rPr>
            </w:pPr>
            <m:oMathPara>
              <m:oMath>
                <m:r>
                  <m:rPr/>
                  <w:rPr>
                    <w:rFonts w:ascii="Cambria Math" w:hAnsi="Cambria Math" w:eastAsia="宋体" w:cs="Times New Roman"/>
                    <w:sz w:val="18"/>
                    <w:szCs w:val="18"/>
                  </w:rPr>
                  <m:t>Landfin×Post</m:t>
                </m:r>
              </m:oMath>
            </m:oMathPara>
          </w:p>
        </w:tc>
        <w:tc>
          <w:tcPr>
            <w:tcW w:w="1091" w:type="pct"/>
            <w:tcBorders>
              <w:top w:val="single" w:color="auto" w:sz="4" w:space="0"/>
              <w:tl2br w:val="nil"/>
              <w:tr2bl w:val="nil"/>
            </w:tcBorders>
          </w:tcPr>
          <w:p w14:paraId="310D34E4">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r>
              <w:rPr>
                <w:rFonts w:hint="eastAsia" w:ascii="Times New Roman" w:hAnsi="Times New Roman" w:eastAsia="宋体" w:cs="Times New Roman"/>
                <w:sz w:val="18"/>
                <w:szCs w:val="18"/>
              </w:rPr>
              <w:t>6208</w:t>
            </w:r>
            <w:r>
              <w:rPr>
                <w:rFonts w:ascii="Times New Roman" w:hAnsi="Times New Roman" w:eastAsia="宋体" w:cs="Times New Roman"/>
                <w:sz w:val="18"/>
                <w:szCs w:val="18"/>
              </w:rPr>
              <w:t>***</w:t>
            </w:r>
          </w:p>
        </w:tc>
        <w:tc>
          <w:tcPr>
            <w:tcW w:w="1091" w:type="pct"/>
            <w:tcBorders>
              <w:top w:val="single" w:color="auto" w:sz="4" w:space="0"/>
              <w:tl2br w:val="nil"/>
              <w:tr2bl w:val="nil"/>
            </w:tcBorders>
          </w:tcPr>
          <w:p w14:paraId="62B2D9AE">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r>
              <w:rPr>
                <w:rFonts w:hint="eastAsia" w:ascii="Times New Roman" w:hAnsi="Times New Roman" w:eastAsia="宋体" w:cs="Times New Roman"/>
                <w:sz w:val="18"/>
                <w:szCs w:val="18"/>
              </w:rPr>
              <w:t>6239</w:t>
            </w:r>
            <w:r>
              <w:rPr>
                <w:rFonts w:ascii="Times New Roman" w:hAnsi="Times New Roman" w:eastAsia="宋体" w:cs="Times New Roman"/>
                <w:sz w:val="18"/>
                <w:szCs w:val="18"/>
              </w:rPr>
              <w:t>***</w:t>
            </w:r>
          </w:p>
        </w:tc>
        <w:tc>
          <w:tcPr>
            <w:tcW w:w="1091" w:type="pct"/>
            <w:tcBorders>
              <w:top w:val="single" w:color="auto" w:sz="4" w:space="0"/>
              <w:tl2br w:val="nil"/>
              <w:tr2bl w:val="nil"/>
            </w:tcBorders>
          </w:tcPr>
          <w:p w14:paraId="0255D3AA">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r>
              <w:rPr>
                <w:rFonts w:hint="eastAsia" w:ascii="Times New Roman" w:hAnsi="Times New Roman" w:eastAsia="宋体" w:cs="Times New Roman"/>
                <w:sz w:val="18"/>
                <w:szCs w:val="18"/>
              </w:rPr>
              <w:t>6136</w:t>
            </w:r>
            <w:r>
              <w:rPr>
                <w:rFonts w:ascii="Times New Roman" w:hAnsi="Times New Roman" w:eastAsia="宋体" w:cs="Times New Roman"/>
                <w:sz w:val="18"/>
                <w:szCs w:val="18"/>
              </w:rPr>
              <w:t>***</w:t>
            </w:r>
          </w:p>
        </w:tc>
      </w:tr>
      <w:tr w14:paraId="3131FD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724" w:type="pct"/>
            <w:vMerge w:val="continue"/>
            <w:tcBorders>
              <w:tl2br w:val="nil"/>
              <w:tr2bl w:val="nil"/>
            </w:tcBorders>
          </w:tcPr>
          <w:p w14:paraId="3EC3B664">
            <w:pPr>
              <w:jc w:val="center"/>
              <w:rPr>
                <w:rFonts w:ascii="Times New Roman" w:hAnsi="Times New Roman" w:eastAsia="宋体" w:cs="Times New Roman"/>
                <w:sz w:val="18"/>
                <w:szCs w:val="18"/>
              </w:rPr>
            </w:pPr>
          </w:p>
        </w:tc>
        <w:tc>
          <w:tcPr>
            <w:tcW w:w="1091" w:type="pct"/>
            <w:tcBorders>
              <w:tl2br w:val="nil"/>
              <w:tr2bl w:val="nil"/>
            </w:tcBorders>
          </w:tcPr>
          <w:p w14:paraId="7538E481">
            <w:pPr>
              <w:jc w:val="center"/>
              <w:rPr>
                <w:rFonts w:ascii="Times New Roman" w:hAnsi="Times New Roman" w:eastAsia="宋体" w:cs="Times New Roman"/>
                <w:sz w:val="18"/>
                <w:szCs w:val="18"/>
              </w:rPr>
            </w:pPr>
            <w:r>
              <w:rPr>
                <w:rFonts w:ascii="Times New Roman" w:hAnsi="Times New Roman" w:eastAsia="宋体" w:cs="Times New Roman"/>
                <w:sz w:val="18"/>
                <w:szCs w:val="18"/>
              </w:rPr>
              <w:t>(0.0</w:t>
            </w:r>
            <w:r>
              <w:rPr>
                <w:rFonts w:hint="eastAsia" w:ascii="Times New Roman" w:hAnsi="Times New Roman" w:eastAsia="宋体" w:cs="Times New Roman"/>
                <w:sz w:val="18"/>
                <w:szCs w:val="18"/>
              </w:rPr>
              <w:t>406</w:t>
            </w:r>
            <w:r>
              <w:rPr>
                <w:rFonts w:ascii="Times New Roman" w:hAnsi="Times New Roman" w:eastAsia="宋体" w:cs="Times New Roman"/>
                <w:sz w:val="18"/>
                <w:szCs w:val="18"/>
              </w:rPr>
              <w:t>)</w:t>
            </w:r>
          </w:p>
        </w:tc>
        <w:tc>
          <w:tcPr>
            <w:tcW w:w="1091" w:type="pct"/>
            <w:tcBorders>
              <w:tl2br w:val="nil"/>
              <w:tr2bl w:val="nil"/>
            </w:tcBorders>
          </w:tcPr>
          <w:p w14:paraId="22A32253">
            <w:pPr>
              <w:jc w:val="center"/>
              <w:rPr>
                <w:rFonts w:ascii="Times New Roman" w:hAnsi="Times New Roman" w:eastAsia="宋体" w:cs="Times New Roman"/>
                <w:sz w:val="18"/>
                <w:szCs w:val="18"/>
              </w:rPr>
            </w:pPr>
            <w:r>
              <w:rPr>
                <w:rFonts w:ascii="Times New Roman" w:hAnsi="Times New Roman" w:eastAsia="宋体" w:cs="Times New Roman"/>
                <w:sz w:val="18"/>
                <w:szCs w:val="18"/>
              </w:rPr>
              <w:t>(0.0</w:t>
            </w:r>
            <w:r>
              <w:rPr>
                <w:rFonts w:hint="eastAsia" w:ascii="Times New Roman" w:hAnsi="Times New Roman" w:eastAsia="宋体" w:cs="Times New Roman"/>
                <w:sz w:val="18"/>
                <w:szCs w:val="18"/>
              </w:rPr>
              <w:t>408</w:t>
            </w:r>
            <w:r>
              <w:rPr>
                <w:rFonts w:ascii="Times New Roman" w:hAnsi="Times New Roman" w:eastAsia="宋体" w:cs="Times New Roman"/>
                <w:sz w:val="18"/>
                <w:szCs w:val="18"/>
              </w:rPr>
              <w:t>)</w:t>
            </w:r>
          </w:p>
        </w:tc>
        <w:tc>
          <w:tcPr>
            <w:tcW w:w="1091" w:type="pct"/>
            <w:tcBorders>
              <w:tl2br w:val="nil"/>
              <w:tr2bl w:val="nil"/>
            </w:tcBorders>
          </w:tcPr>
          <w:p w14:paraId="67688E8F">
            <w:pPr>
              <w:jc w:val="center"/>
              <w:rPr>
                <w:rFonts w:ascii="Times New Roman" w:hAnsi="Times New Roman" w:eastAsia="宋体" w:cs="Times New Roman"/>
                <w:sz w:val="18"/>
                <w:szCs w:val="18"/>
              </w:rPr>
            </w:pPr>
            <w:r>
              <w:rPr>
                <w:rFonts w:ascii="Times New Roman" w:hAnsi="Times New Roman" w:eastAsia="宋体" w:cs="Times New Roman"/>
                <w:sz w:val="18"/>
                <w:szCs w:val="18"/>
              </w:rPr>
              <w:t>(0.0</w:t>
            </w:r>
            <w:r>
              <w:rPr>
                <w:rFonts w:hint="eastAsia" w:ascii="Times New Roman" w:hAnsi="Times New Roman" w:eastAsia="宋体" w:cs="Times New Roman"/>
                <w:sz w:val="18"/>
                <w:szCs w:val="18"/>
              </w:rPr>
              <w:t>406</w:t>
            </w:r>
            <w:r>
              <w:rPr>
                <w:rFonts w:ascii="Times New Roman" w:hAnsi="Times New Roman" w:eastAsia="宋体" w:cs="Times New Roman"/>
                <w:sz w:val="18"/>
                <w:szCs w:val="18"/>
              </w:rPr>
              <w:t>)</w:t>
            </w:r>
          </w:p>
        </w:tc>
      </w:tr>
      <w:tr w14:paraId="64139FB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724" w:type="pct"/>
            <w:tcBorders>
              <w:tl2br w:val="nil"/>
              <w:tr2bl w:val="nil"/>
            </w:tcBorders>
            <w:vAlign w:val="center"/>
          </w:tcPr>
          <w:p w14:paraId="65E78892">
            <w:pPr>
              <w:jc w:val="center"/>
              <w:rPr>
                <w:rFonts w:ascii="Times New Roman" w:hAnsi="Times New Roman" w:eastAsia="宋体" w:cs="Times New Roman"/>
                <w:sz w:val="18"/>
                <w:szCs w:val="18"/>
              </w:rPr>
            </w:pPr>
            <w:r>
              <w:rPr>
                <w:rFonts w:ascii="Times New Roman" w:hAnsi="Times New Roman" w:eastAsia="宋体" w:cs="Times New Roman"/>
                <w:sz w:val="18"/>
                <w:szCs w:val="18"/>
              </w:rPr>
              <w:t>控制变量</w:t>
            </w:r>
          </w:p>
        </w:tc>
        <w:tc>
          <w:tcPr>
            <w:tcW w:w="1091" w:type="pct"/>
            <w:tcBorders>
              <w:tl2br w:val="nil"/>
              <w:tr2bl w:val="nil"/>
            </w:tcBorders>
            <w:vAlign w:val="center"/>
          </w:tcPr>
          <w:p w14:paraId="7E6F459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c>
          <w:tcPr>
            <w:tcW w:w="1091" w:type="pct"/>
            <w:tcBorders>
              <w:tl2br w:val="nil"/>
              <w:tr2bl w:val="nil"/>
            </w:tcBorders>
            <w:vAlign w:val="center"/>
          </w:tcPr>
          <w:p w14:paraId="0DCCC789">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c>
          <w:tcPr>
            <w:tcW w:w="1091" w:type="pct"/>
            <w:tcBorders>
              <w:tl2br w:val="nil"/>
              <w:tr2bl w:val="nil"/>
            </w:tcBorders>
            <w:vAlign w:val="center"/>
          </w:tcPr>
          <w:p w14:paraId="040F8FF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r>
      <w:tr w14:paraId="21AEE8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724" w:type="pct"/>
            <w:tcBorders>
              <w:tl2br w:val="nil"/>
              <w:tr2bl w:val="nil"/>
            </w:tcBorders>
            <w:vAlign w:val="center"/>
          </w:tcPr>
          <w:p w14:paraId="5FE43D20">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城市、年份</w:t>
            </w:r>
            <w:r>
              <w:rPr>
                <w:rFonts w:ascii="Times New Roman" w:hAnsi="Times New Roman" w:eastAsia="宋体" w:cs="Times New Roman"/>
                <w:sz w:val="18"/>
                <w:szCs w:val="18"/>
              </w:rPr>
              <w:t>效应</w:t>
            </w:r>
          </w:p>
        </w:tc>
        <w:tc>
          <w:tcPr>
            <w:tcW w:w="1091" w:type="pct"/>
            <w:tcBorders>
              <w:tl2br w:val="nil"/>
              <w:tr2bl w:val="nil"/>
            </w:tcBorders>
            <w:vAlign w:val="center"/>
          </w:tcPr>
          <w:p w14:paraId="5209CD3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c>
          <w:tcPr>
            <w:tcW w:w="1091" w:type="pct"/>
            <w:tcBorders>
              <w:tl2br w:val="nil"/>
              <w:tr2bl w:val="nil"/>
            </w:tcBorders>
            <w:vAlign w:val="center"/>
          </w:tcPr>
          <w:p w14:paraId="5D119F19">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c>
          <w:tcPr>
            <w:tcW w:w="1091" w:type="pct"/>
            <w:tcBorders>
              <w:tl2br w:val="nil"/>
              <w:tr2bl w:val="nil"/>
            </w:tcBorders>
            <w:vAlign w:val="center"/>
          </w:tcPr>
          <w:p w14:paraId="08117B2B">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控制</w:t>
            </w:r>
          </w:p>
        </w:tc>
      </w:tr>
      <w:tr w14:paraId="5E9DC2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724" w:type="pct"/>
            <w:tcBorders>
              <w:top w:val="single" w:color="auto" w:sz="4" w:space="0"/>
            </w:tcBorders>
          </w:tcPr>
          <w:p w14:paraId="4E197194">
            <w:pPr>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N</w:t>
            </w:r>
          </w:p>
        </w:tc>
        <w:tc>
          <w:tcPr>
            <w:tcW w:w="1091" w:type="pct"/>
            <w:tcBorders>
              <w:top w:val="single" w:color="auto" w:sz="4" w:space="0"/>
            </w:tcBorders>
          </w:tcPr>
          <w:p w14:paraId="41270BC3">
            <w:pPr>
              <w:jc w:val="center"/>
              <w:rPr>
                <w:rFonts w:ascii="Times New Roman" w:hAnsi="Times New Roman" w:eastAsia="宋体" w:cs="Times New Roman"/>
                <w:sz w:val="18"/>
                <w:szCs w:val="18"/>
              </w:rPr>
            </w:pPr>
            <w:r>
              <w:rPr>
                <w:rFonts w:ascii="Times New Roman" w:hAnsi="Times New Roman" w:eastAsia="宋体" w:cs="Times New Roman"/>
                <w:sz w:val="18"/>
                <w:szCs w:val="18"/>
              </w:rPr>
              <w:t>2</w:t>
            </w:r>
            <w:r>
              <w:rPr>
                <w:rFonts w:hint="eastAsia" w:ascii="Times New Roman" w:hAnsi="Times New Roman" w:eastAsia="宋体" w:cs="Times New Roman"/>
                <w:sz w:val="18"/>
                <w:szCs w:val="18"/>
              </w:rPr>
              <w:t>287</w:t>
            </w:r>
          </w:p>
        </w:tc>
        <w:tc>
          <w:tcPr>
            <w:tcW w:w="1091" w:type="pct"/>
            <w:tcBorders>
              <w:top w:val="single" w:color="auto" w:sz="4" w:space="0"/>
            </w:tcBorders>
          </w:tcPr>
          <w:p w14:paraId="11FB1F3E">
            <w:pPr>
              <w:jc w:val="center"/>
              <w:rPr>
                <w:rFonts w:ascii="Times New Roman" w:hAnsi="Times New Roman" w:eastAsia="宋体" w:cs="Times New Roman"/>
                <w:sz w:val="18"/>
                <w:szCs w:val="18"/>
              </w:rPr>
            </w:pPr>
            <w:r>
              <w:rPr>
                <w:rFonts w:ascii="Times New Roman" w:hAnsi="Times New Roman" w:eastAsia="宋体" w:cs="Times New Roman"/>
                <w:sz w:val="18"/>
                <w:szCs w:val="18"/>
              </w:rPr>
              <w:t>2</w:t>
            </w:r>
            <w:r>
              <w:rPr>
                <w:rFonts w:hint="eastAsia" w:ascii="Times New Roman" w:hAnsi="Times New Roman" w:eastAsia="宋体" w:cs="Times New Roman"/>
                <w:sz w:val="18"/>
                <w:szCs w:val="18"/>
              </w:rPr>
              <w:t>167</w:t>
            </w:r>
          </w:p>
        </w:tc>
        <w:tc>
          <w:tcPr>
            <w:tcW w:w="1091" w:type="pct"/>
            <w:tcBorders>
              <w:top w:val="single" w:color="auto" w:sz="4" w:space="0"/>
            </w:tcBorders>
          </w:tcPr>
          <w:p w14:paraId="69EA5A79">
            <w:pPr>
              <w:jc w:val="center"/>
              <w:rPr>
                <w:rFonts w:ascii="Times New Roman" w:hAnsi="Times New Roman" w:eastAsia="宋体" w:cs="Times New Roman"/>
                <w:sz w:val="18"/>
                <w:szCs w:val="18"/>
              </w:rPr>
            </w:pPr>
            <w:r>
              <w:rPr>
                <w:rFonts w:ascii="Times New Roman" w:hAnsi="Times New Roman" w:eastAsia="宋体" w:cs="Times New Roman"/>
                <w:sz w:val="18"/>
                <w:szCs w:val="18"/>
              </w:rPr>
              <w:t>2</w:t>
            </w:r>
            <w:r>
              <w:rPr>
                <w:rFonts w:hint="eastAsia" w:ascii="Times New Roman" w:hAnsi="Times New Roman" w:eastAsia="宋体" w:cs="Times New Roman"/>
                <w:sz w:val="18"/>
                <w:szCs w:val="18"/>
              </w:rPr>
              <w:t>02</w:t>
            </w:r>
            <w:r>
              <w:rPr>
                <w:rFonts w:ascii="Times New Roman" w:hAnsi="Times New Roman" w:eastAsia="宋体" w:cs="Times New Roman"/>
                <w:sz w:val="18"/>
                <w:szCs w:val="18"/>
              </w:rPr>
              <w:t>9</w:t>
            </w:r>
          </w:p>
        </w:tc>
      </w:tr>
    </w:tbl>
    <w:p w14:paraId="1216F56E">
      <w:pPr>
        <w:spacing w:before="174" w:beforeLines="50"/>
        <w:jc w:val="left"/>
        <w:outlineLvl w:val="0"/>
        <w:rPr>
          <w:rFonts w:ascii="Times New Roman" w:hAnsi="Times New Roman" w:eastAsia="黑体" w:cs="黑体"/>
          <w:sz w:val="15"/>
          <w:szCs w:val="15"/>
        </w:rPr>
      </w:pPr>
      <w:r>
        <w:rPr>
          <w:rFonts w:hint="eastAsia" w:ascii="Times New Roman" w:hAnsi="Times New Roman" w:eastAsia="黑体" w:cs="黑体"/>
          <w:sz w:val="15"/>
          <w:szCs w:val="15"/>
        </w:rPr>
        <w:t>参考文献：</w:t>
      </w:r>
    </w:p>
    <w:p w14:paraId="7DCBCC6E">
      <w:pPr>
        <w:numPr>
          <w:ilvl w:val="0"/>
          <w:numId w:val="1"/>
        </w:numPr>
        <w:ind w:left="251" w:hanging="252" w:hangingChars="170"/>
        <w:rPr>
          <w:rFonts w:ascii="Times New Roman" w:hAnsi="Times New Roman" w:cs="Times New Roman"/>
          <w:sz w:val="15"/>
          <w:szCs w:val="15"/>
        </w:rPr>
      </w:pPr>
      <w:r>
        <w:rPr>
          <w:rFonts w:hint="eastAsia" w:ascii="Times New Roman" w:hAnsi="Times New Roman" w:cs="Times New Roman"/>
          <w:sz w:val="15"/>
          <w:szCs w:val="15"/>
        </w:rPr>
        <w:t>李志生,汪颖栋,金凌.地方政府债务置换与企业杠杆率分化——兼论优化地方债务结构[J].经济研究,2024,(2):23-41.</w:t>
      </w:r>
    </w:p>
    <w:p w14:paraId="0DEEFA85">
      <w:pPr>
        <w:numPr>
          <w:ilvl w:val="0"/>
          <w:numId w:val="1"/>
        </w:numPr>
        <w:ind w:left="251" w:hanging="252" w:hangingChars="170"/>
        <w:rPr>
          <w:rFonts w:ascii="Times New Roman" w:hAnsi="Times New Roman" w:cs="Times New Roman"/>
          <w:sz w:val="15"/>
          <w:szCs w:val="15"/>
        </w:rPr>
      </w:pPr>
      <w:r>
        <w:rPr>
          <w:rFonts w:hint="eastAsia" w:ascii="Times New Roman" w:hAnsi="Times New Roman" w:cs="Times New Roman"/>
          <w:sz w:val="15"/>
          <w:szCs w:val="15"/>
        </w:rPr>
        <w:t>吕炜,周佳音,陆毅.理解央地财政博弈的新视角——来自地方债发还方式改革的证据[J].中国社会科学,2019,(10):134-159.</w:t>
      </w:r>
    </w:p>
    <w:p w14:paraId="39B27836">
      <w:pPr>
        <w:numPr>
          <w:ilvl w:val="0"/>
          <w:numId w:val="1"/>
        </w:numPr>
        <w:ind w:left="251" w:hanging="252" w:hangingChars="170"/>
        <w:rPr>
          <w:rFonts w:ascii="Times New Roman" w:hAnsi="Times New Roman" w:cs="Times New Roman"/>
          <w:sz w:val="15"/>
          <w:szCs w:val="15"/>
        </w:rPr>
      </w:pPr>
      <w:r>
        <w:rPr>
          <w:rFonts w:hint="eastAsia" w:ascii="Times New Roman" w:hAnsi="Times New Roman" w:cs="Times New Roman"/>
          <w:sz w:val="15"/>
          <w:szCs w:val="15"/>
        </w:rPr>
        <w:t>邱志刚,王子悦,王卓.地方政府债务置换与新增隐性债务——基于</w:t>
      </w:r>
      <w:bookmarkStart w:id="0" w:name="_GoBack"/>
      <w:bookmarkEnd w:id="0"/>
      <w:r>
        <w:rPr>
          <w:rFonts w:hint="eastAsia" w:ascii="Times New Roman" w:hAnsi="Times New Roman" w:cs="Times New Roman"/>
          <w:sz w:val="15"/>
          <w:szCs w:val="15"/>
        </w:rPr>
        <w:t>城投债发行规模与定价的分析[J].中国工业经济,2022,(4):42-60.</w:t>
      </w:r>
    </w:p>
    <w:p w14:paraId="22C98A59">
      <w:pPr>
        <w:numPr>
          <w:ilvl w:val="0"/>
          <w:numId w:val="1"/>
        </w:numPr>
        <w:ind w:left="251" w:hanging="252" w:hangingChars="170"/>
        <w:rPr>
          <w:rFonts w:ascii="Times New Roman" w:hAnsi="Times New Roman" w:cs="Times New Roman"/>
          <w:sz w:val="15"/>
          <w:szCs w:val="15"/>
        </w:rPr>
      </w:pPr>
      <w:r>
        <w:rPr>
          <w:rFonts w:hint="eastAsia" w:ascii="Times New Roman" w:hAnsi="Times New Roman" w:cs="Times New Roman"/>
          <w:sz w:val="15"/>
          <w:szCs w:val="15"/>
        </w:rPr>
        <w:t>张莉,陆铭,刘雅丽.税收激励与城市商住用地结构——来自“营改增”的经验证据[J].经济学(季刊),2022,(4):1425-1446.</w:t>
      </w:r>
    </w:p>
    <w:p w14:paraId="6A7430F0">
      <w:pPr>
        <w:rPr>
          <w:rFonts w:hint="eastAsia" w:ascii="Times New Roman" w:hAnsi="Times New Roman"/>
          <w:szCs w:val="21"/>
        </w:rPr>
      </w:pPr>
    </w:p>
    <w:sectPr>
      <w:footerReference r:id="rId4" w:type="default"/>
      <w:footnotePr>
        <w:numFmt w:val="decimalEnclosedCircleChinese"/>
      </w:footnotePr>
      <w:pgSz w:w="11906" w:h="16838"/>
      <w:pgMar w:top="1440" w:right="1797" w:bottom="1440" w:left="1797" w:header="851" w:footer="992" w:gutter="0"/>
      <w:cols w:space="425" w:num="1"/>
      <w:docGrid w:type="linesAndChars" w:linePitch="348" w:charSpace="-4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105763"/>
      <w:docPartObj>
        <w:docPartGallery w:val="autotext"/>
      </w:docPartObj>
    </w:sdtPr>
    <w:sdtEndPr>
      <w:rPr>
        <w:rFonts w:ascii="Times New Roman" w:hAnsi="Times New Roman" w:cs="Times New Roman"/>
      </w:rPr>
    </w:sdtEndPr>
    <w:sdtContent>
      <w:p w14:paraId="69EE7CD7">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97F3D4A">
      <w:pPr>
        <w:pStyle w:val="4"/>
        <w:wordWrap w:val="0"/>
        <w:ind w:firstLine="300" w:firstLineChars="200"/>
        <w:rPr>
          <w:rStyle w:val="8"/>
          <w:rFonts w:ascii="Times New Roman" w:hAnsi="Times New Roman" w:eastAsia="宋体" w:cs="Times New Roman"/>
          <w:sz w:val="15"/>
          <w:szCs w:val="15"/>
          <w:vertAlign w:val="baseline"/>
        </w:rPr>
      </w:pPr>
      <w:r>
        <w:rPr>
          <w:rStyle w:val="8"/>
          <w:rFonts w:hint="eastAsia" w:ascii="Times New Roman" w:hAnsi="Times New Roman" w:eastAsia="宋体" w:cs="Times New Roman"/>
          <w:sz w:val="15"/>
          <w:szCs w:val="15"/>
          <w:vertAlign w:val="baseline"/>
        </w:rPr>
        <w:footnoteRef/>
      </w:r>
      <w:r>
        <w:rPr>
          <w:rStyle w:val="8"/>
          <w:rFonts w:hint="eastAsia" w:ascii="Times New Roman" w:hAnsi="Times New Roman" w:eastAsia="宋体" w:cs="Times New Roman"/>
          <w:sz w:val="15"/>
          <w:szCs w:val="15"/>
          <w:vertAlign w:val="baseline"/>
        </w:rPr>
        <w:t xml:space="preserve"> 《地方政府土地储备专项债券管理办法（试行）》第二十四条规定：土地储备专项债券应当统一命名格式，冠以“××年××省、自治区、直辖市（本级或××市、县）土地储备专项债券（×期）——×年××省、自治区、直辖市政府专项债券（×期）”名称，具体由省级财政部门商省级国土资源部门确定。所以，可以通过债券名称辨别出其中的土储债券。</w:t>
      </w:r>
    </w:p>
  </w:footnote>
  <w:footnote w:id="1">
    <w:p w14:paraId="215F36DF">
      <w:pPr>
        <w:pStyle w:val="4"/>
        <w:wordWrap w:val="0"/>
        <w:ind w:firstLine="300" w:firstLineChars="200"/>
        <w:rPr>
          <w:rStyle w:val="8"/>
          <w:rFonts w:ascii="Times New Roman" w:hAnsi="Times New Roman" w:eastAsia="宋体" w:cs="Times New Roman"/>
          <w:sz w:val="15"/>
          <w:szCs w:val="15"/>
          <w:vertAlign w:val="baseline"/>
        </w:rPr>
      </w:pPr>
      <w:r>
        <w:rPr>
          <w:rStyle w:val="8"/>
          <w:rFonts w:hint="eastAsia" w:ascii="Times New Roman" w:hAnsi="Times New Roman" w:eastAsia="宋体" w:cs="Times New Roman"/>
          <w:sz w:val="15"/>
          <w:szCs w:val="15"/>
          <w:vertAlign w:val="baseline"/>
        </w:rPr>
        <w:footnoteRef/>
      </w:r>
      <w:r>
        <w:rPr>
          <w:rStyle w:val="8"/>
          <w:rFonts w:hint="eastAsia" w:ascii="Times New Roman" w:hAnsi="Times New Roman" w:eastAsia="宋体" w:cs="Times New Roman"/>
          <w:sz w:val="15"/>
          <w:szCs w:val="15"/>
          <w:vertAlign w:val="baseline"/>
        </w:rPr>
        <w:t xml:space="preserve"> 虽然不是每一只土储债券发行时都披露了上述所有文件（</w:t>
      </w:r>
      <w:r>
        <w:rPr>
          <w:rFonts w:hint="eastAsia" w:ascii="Times New Roman" w:hAnsi="Times New Roman" w:eastAsia="宋体" w:cs="Times New Roman"/>
          <w:sz w:val="15"/>
          <w:szCs w:val="15"/>
          <w:vertAlign w:val="baseline"/>
          <w:lang w:val="en-US" w:eastAsia="zh-CN"/>
        </w:rPr>
        <w:t>所有土储债券都披露了</w:t>
      </w:r>
      <w:r>
        <w:rPr>
          <w:rStyle w:val="8"/>
          <w:rFonts w:hint="eastAsia" w:ascii="Times New Roman" w:hAnsi="Times New Roman" w:eastAsia="宋体" w:cs="Times New Roman"/>
          <w:sz w:val="15"/>
          <w:szCs w:val="15"/>
          <w:vertAlign w:val="baseline"/>
        </w:rPr>
        <w:t>关于发行土储债券有关事项的通知、土储债券信息披露文件和土储债券信用评级报告三个文件；2018—2019年发行的所有土储债券都披露了项目收益与融资自求平衡方案、项目财务评价报告、项目法律意见书，2017年则没有披露；2017年发行的土储债券披露了较为完备的项目情况表，2018—2019年发行的部分土储债券则没有披露），但每一年披露的文件都包含了项目层面的所有信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10C1F"/>
    <w:multiLevelType w:val="singleLevel"/>
    <w:tmpl w:val="DD210C1F"/>
    <w:lvl w:ilvl="0" w:tentative="0">
      <w:start w:val="1"/>
      <w:numFmt w:val="decimal"/>
      <w:suff w:val="nothing"/>
      <w:lvlText w:val="[%1]"/>
      <w:lvlJc w:val="left"/>
      <w:pPr>
        <w:tabs>
          <w:tab w:val="left" w:pos="0"/>
        </w:tabs>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4"/>
  <w:drawingGridVerticalSpacing w:val="174"/>
  <w:displayHorizontalDrawingGridEvery w:val="0"/>
  <w:displayVerticalDrawingGridEvery w:val="2"/>
  <w:characterSpacingControl w:val="compressPunctuation"/>
  <w:footnotePr>
    <w:numFmt w:val="decimalEnclosedCircleChines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A2DA9"/>
    <w:rsid w:val="00261806"/>
    <w:rsid w:val="006B03C0"/>
    <w:rsid w:val="007D7069"/>
    <w:rsid w:val="00D21160"/>
    <w:rsid w:val="00E70A47"/>
    <w:rsid w:val="00F97F43"/>
    <w:rsid w:val="0EEA2DA9"/>
    <w:rsid w:val="2B5F6BB9"/>
    <w:rsid w:val="56047A20"/>
    <w:rsid w:val="59A82E8B"/>
    <w:rsid w:val="5C78325A"/>
    <w:rsid w:val="6B4B23DF"/>
    <w:rsid w:val="73F21F43"/>
    <w:rsid w:val="78A523D9"/>
    <w:rsid w:val="7A04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qFormat/>
    <w:uiPriority w:val="99"/>
    <w:pPr>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otnote reference"/>
    <w:basedOn w:val="7"/>
    <w:qFormat/>
    <w:uiPriority w:val="99"/>
    <w:rPr>
      <w:vertAlign w:val="superscript"/>
    </w:rPr>
  </w:style>
  <w:style w:type="character" w:customStyle="1" w:styleId="9">
    <w:name w:val="页眉 字符"/>
    <w:basedOn w:val="7"/>
    <w:link w:val="3"/>
    <w:qFormat/>
    <w:uiPriority w:val="0"/>
    <w:rPr>
      <w:kern w:val="2"/>
      <w:sz w:val="18"/>
      <w:szCs w:val="18"/>
    </w:rPr>
  </w:style>
  <w:style w:type="character" w:customStyle="1" w:styleId="10">
    <w:name w:val="页脚 字符"/>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4F3B1-492B-4DAE-89BD-14FC06412B56}">
  <ds:schemaRefs/>
</ds:datastoreItem>
</file>

<file path=docProps/app.xml><?xml version="1.0" encoding="utf-8"?>
<Properties xmlns="http://schemas.openxmlformats.org/officeDocument/2006/extended-properties" xmlns:vt="http://schemas.openxmlformats.org/officeDocument/2006/docPropsVTypes">
  <Template>Normal</Template>
  <Pages>5</Pages>
  <Words>3875</Words>
  <Characters>4830</Characters>
  <Lines>40</Lines>
  <Paragraphs>11</Paragraphs>
  <TotalTime>1</TotalTime>
  <ScaleCrop>false</ScaleCrop>
  <LinksUpToDate>false</LinksUpToDate>
  <CharactersWithSpaces>4842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2026-03-26T09:24:00Z</dcterms:created>
  <dc:creator>作者</dc:creator>
  <cp:lastModifiedBy>作者</cp:lastModifiedBy>
  <dcterms:modified xsi:type="dcterms:W3CDTF">2026-03-28T02:12:51Z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6544B53CFFA6469AB53EEE01D584AF6C_11</vt:lpwstr>
  </property>
  <property fmtid="{D5CDD505-2E9C-101B-9397-08002B2CF9AE}" pid="4" name="KSOTemplateDocerSaveRecord">
    <vt:lpwstr>eyJoZGlkIjoiNTM5OTJkMzNmMmZkMzY3YzYwZWVkMjQzNzdhMTdlNGUiLCJ1c2VySWQiOiI2MjcyMDc5MjMifQ==</vt:lpwstr>
  </property>
</Properties>
</file>